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02842">
      <w:pPr>
        <w:jc w:val="left"/>
        <w:rPr>
          <w:rFonts w:hint="eastAsia" w:eastAsia="黑体"/>
          <w:color w:val="auto"/>
          <w:sz w:val="21"/>
          <w:szCs w:val="21"/>
          <w:lang w:eastAsia="zh-CN"/>
        </w:rPr>
      </w:pPr>
      <w:r>
        <w:rPr>
          <w:rFonts w:hint="eastAsia" w:ascii="黑体" w:hAnsi="黑体" w:eastAsia="黑体" w:cs="黑体"/>
          <w:color w:val="auto"/>
          <w:sz w:val="21"/>
          <w:szCs w:val="21"/>
        </w:rPr>
        <w:t>附件</w:t>
      </w:r>
      <w:r>
        <w:rPr>
          <w:rFonts w:hint="eastAsia" w:ascii="黑体" w:hAnsi="黑体" w:eastAsia="黑体" w:cs="黑体"/>
          <w:color w:val="auto"/>
          <w:sz w:val="21"/>
          <w:szCs w:val="21"/>
          <w:lang w:val="en-US" w:eastAsia="zh-CN"/>
        </w:rPr>
        <w:t>2.4</w:t>
      </w:r>
    </w:p>
    <w:p w14:paraId="3DB7B316">
      <w:pPr>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lang w:eastAsia="zh-CN"/>
        </w:rPr>
        <w:t>“</w:t>
      </w:r>
      <w:r>
        <w:rPr>
          <w:rFonts w:hint="eastAsia" w:ascii="方正小标宋简体" w:hAnsi="方正小标宋简体" w:eastAsia="方正小标宋简体" w:cs="方正小标宋简体"/>
          <w:b w:val="0"/>
          <w:bCs/>
          <w:sz w:val="32"/>
          <w:szCs w:val="32"/>
        </w:rPr>
        <w:t>思政</w:t>
      </w:r>
      <w:r>
        <w:rPr>
          <w:rFonts w:hint="eastAsia" w:ascii="方正小标宋简体" w:hAnsi="方正小标宋简体" w:eastAsia="方正小标宋简体" w:cs="方正小标宋简体"/>
          <w:b w:val="0"/>
          <w:bCs/>
          <w:sz w:val="32"/>
          <w:szCs w:val="32"/>
          <w:lang w:val="en-US" w:eastAsia="zh-CN"/>
        </w:rPr>
        <w:t>拔尖创新人才”初试综合奖励加分</w:t>
      </w:r>
      <w:r>
        <w:rPr>
          <w:rFonts w:hint="eastAsia" w:ascii="方正小标宋简体" w:hAnsi="方正小标宋简体" w:eastAsia="方正小标宋简体" w:cs="方正小标宋简体"/>
          <w:b w:val="0"/>
          <w:bCs/>
          <w:sz w:val="32"/>
          <w:szCs w:val="32"/>
        </w:rPr>
        <w:t>自评表</w:t>
      </w:r>
    </w:p>
    <w:tbl>
      <w:tblPr>
        <w:tblStyle w:val="4"/>
        <w:tblpPr w:leftFromText="180" w:rightFromText="180" w:vertAnchor="text" w:horzAnchor="page" w:tblpXSpec="center" w:tblpY="373"/>
        <w:tblOverlap w:val="never"/>
        <w:tblW w:w="10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144"/>
        <w:gridCol w:w="1827"/>
        <w:gridCol w:w="2358"/>
        <w:gridCol w:w="1863"/>
        <w:gridCol w:w="1183"/>
        <w:gridCol w:w="1134"/>
      </w:tblGrid>
      <w:tr w14:paraId="73D5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1808" w:type="dxa"/>
            <w:gridSpan w:val="2"/>
            <w:vAlign w:val="center"/>
          </w:tcPr>
          <w:p w14:paraId="5CA85B78">
            <w:pPr>
              <w:spacing w:line="520" w:lineRule="exact"/>
              <w:jc w:val="center"/>
              <w:rPr>
                <w:rFonts w:ascii="仿宋" w:hAnsi="仿宋" w:eastAsia="仿宋"/>
                <w:color w:val="auto"/>
                <w:sz w:val="24"/>
                <w:szCs w:val="18"/>
              </w:rPr>
            </w:pPr>
            <w:r>
              <w:rPr>
                <w:rFonts w:ascii="仿宋" w:hAnsi="仿宋" w:eastAsia="仿宋"/>
                <w:color w:val="auto"/>
                <w:sz w:val="24"/>
                <w:szCs w:val="18"/>
              </w:rPr>
              <w:t>姓名</w:t>
            </w:r>
          </w:p>
        </w:tc>
        <w:tc>
          <w:tcPr>
            <w:tcW w:w="1827" w:type="dxa"/>
            <w:vAlign w:val="center"/>
          </w:tcPr>
          <w:p w14:paraId="062C2CE9">
            <w:pPr>
              <w:spacing w:line="520" w:lineRule="exact"/>
              <w:jc w:val="center"/>
              <w:rPr>
                <w:rFonts w:hint="eastAsia" w:ascii="仿宋" w:hAnsi="仿宋" w:eastAsia="仿宋"/>
                <w:color w:val="auto"/>
                <w:sz w:val="24"/>
                <w:szCs w:val="24"/>
                <w:lang w:eastAsia="zh-CN"/>
              </w:rPr>
            </w:pPr>
            <w:r>
              <w:rPr>
                <w:rFonts w:hint="eastAsia" w:ascii="仿宋" w:hAnsi="仿宋" w:eastAsia="仿宋"/>
                <w:color w:val="auto"/>
                <w:sz w:val="24"/>
                <w:szCs w:val="24"/>
                <w:lang w:val="en-US" w:eastAsia="zh-CN"/>
              </w:rPr>
              <w:t>张三</w:t>
            </w:r>
            <w:bookmarkStart w:id="0" w:name="_GoBack"/>
            <w:bookmarkEnd w:id="0"/>
          </w:p>
        </w:tc>
        <w:tc>
          <w:tcPr>
            <w:tcW w:w="2358" w:type="dxa"/>
            <w:vAlign w:val="center"/>
          </w:tcPr>
          <w:p w14:paraId="3A0DCB34">
            <w:pPr>
              <w:spacing w:line="520" w:lineRule="exact"/>
              <w:jc w:val="center"/>
              <w:rPr>
                <w:rFonts w:ascii="仿宋" w:hAnsi="仿宋" w:eastAsia="仿宋"/>
                <w:color w:val="auto"/>
                <w:sz w:val="24"/>
                <w:szCs w:val="18"/>
              </w:rPr>
            </w:pPr>
            <w:r>
              <w:rPr>
                <w:rFonts w:hint="eastAsia" w:ascii="仿宋" w:hAnsi="仿宋" w:eastAsia="仿宋"/>
                <w:color w:val="auto"/>
                <w:sz w:val="24"/>
                <w:szCs w:val="18"/>
              </w:rPr>
              <w:t>学院及专业</w:t>
            </w:r>
          </w:p>
        </w:tc>
        <w:tc>
          <w:tcPr>
            <w:tcW w:w="4180" w:type="dxa"/>
            <w:gridSpan w:val="3"/>
            <w:vAlign w:val="center"/>
          </w:tcPr>
          <w:p w14:paraId="3FA42A75">
            <w:pPr>
              <w:spacing w:line="520" w:lineRule="exact"/>
              <w:jc w:val="center"/>
              <w:rPr>
                <w:rFonts w:ascii="仿宋" w:hAnsi="仿宋" w:eastAsia="仿宋"/>
                <w:color w:val="auto"/>
                <w:sz w:val="24"/>
                <w:szCs w:val="18"/>
              </w:rPr>
            </w:pPr>
          </w:p>
        </w:tc>
      </w:tr>
      <w:tr w14:paraId="399A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808" w:type="dxa"/>
            <w:gridSpan w:val="2"/>
            <w:vAlign w:val="center"/>
          </w:tcPr>
          <w:p w14:paraId="6B425100">
            <w:pPr>
              <w:spacing w:line="520" w:lineRule="exact"/>
              <w:jc w:val="center"/>
              <w:rPr>
                <w:rFonts w:ascii="仿宋" w:hAnsi="仿宋" w:eastAsia="仿宋"/>
                <w:color w:val="auto"/>
                <w:sz w:val="24"/>
                <w:szCs w:val="18"/>
              </w:rPr>
            </w:pPr>
            <w:r>
              <w:rPr>
                <w:rFonts w:hint="eastAsia" w:ascii="仿宋" w:hAnsi="仿宋" w:eastAsia="仿宋"/>
                <w:color w:val="auto"/>
                <w:sz w:val="24"/>
                <w:szCs w:val="18"/>
              </w:rPr>
              <w:t>手机</w:t>
            </w:r>
          </w:p>
        </w:tc>
        <w:tc>
          <w:tcPr>
            <w:tcW w:w="1827" w:type="dxa"/>
            <w:vAlign w:val="center"/>
          </w:tcPr>
          <w:p w14:paraId="6AD77408">
            <w:pPr>
              <w:spacing w:line="520" w:lineRule="exact"/>
              <w:jc w:val="center"/>
              <w:rPr>
                <w:rFonts w:ascii="仿宋" w:hAnsi="仿宋" w:eastAsia="仿宋"/>
                <w:color w:val="auto"/>
                <w:sz w:val="24"/>
                <w:szCs w:val="18"/>
              </w:rPr>
            </w:pPr>
          </w:p>
        </w:tc>
        <w:tc>
          <w:tcPr>
            <w:tcW w:w="2358" w:type="dxa"/>
            <w:vAlign w:val="center"/>
          </w:tcPr>
          <w:p w14:paraId="0B5209DD">
            <w:pPr>
              <w:spacing w:line="520" w:lineRule="exact"/>
              <w:jc w:val="center"/>
              <w:rPr>
                <w:rFonts w:ascii="仿宋" w:hAnsi="仿宋" w:eastAsia="仿宋"/>
                <w:color w:val="auto"/>
                <w:sz w:val="24"/>
                <w:szCs w:val="18"/>
              </w:rPr>
            </w:pPr>
            <w:r>
              <w:rPr>
                <w:rFonts w:hint="eastAsia" w:ascii="仿宋" w:hAnsi="仿宋" w:eastAsia="仿宋"/>
                <w:color w:val="auto"/>
                <w:sz w:val="24"/>
                <w:szCs w:val="18"/>
              </w:rPr>
              <w:t>邮箱</w:t>
            </w:r>
          </w:p>
        </w:tc>
        <w:tc>
          <w:tcPr>
            <w:tcW w:w="4180" w:type="dxa"/>
            <w:gridSpan w:val="3"/>
            <w:vAlign w:val="center"/>
          </w:tcPr>
          <w:p w14:paraId="32899460">
            <w:pPr>
              <w:spacing w:line="520" w:lineRule="exact"/>
              <w:jc w:val="center"/>
              <w:rPr>
                <w:rFonts w:ascii="仿宋" w:hAnsi="仿宋" w:eastAsia="仿宋"/>
                <w:color w:val="auto"/>
                <w:sz w:val="24"/>
                <w:szCs w:val="18"/>
              </w:rPr>
            </w:pPr>
          </w:p>
        </w:tc>
      </w:tr>
      <w:tr w14:paraId="0072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jc w:val="center"/>
        </w:trPr>
        <w:tc>
          <w:tcPr>
            <w:tcW w:w="664" w:type="dxa"/>
            <w:vMerge w:val="restart"/>
            <w:vAlign w:val="center"/>
          </w:tcPr>
          <w:p w14:paraId="35FC7E8F">
            <w:pPr>
              <w:snapToGrid w:val="0"/>
              <w:jc w:val="center"/>
              <w:rPr>
                <w:rFonts w:ascii="仿宋" w:hAnsi="仿宋" w:eastAsia="仿宋"/>
                <w:color w:val="auto"/>
                <w:sz w:val="24"/>
                <w:szCs w:val="18"/>
              </w:rPr>
            </w:pPr>
            <w:r>
              <w:rPr>
                <w:rFonts w:hint="eastAsia" w:ascii="仿宋" w:hAnsi="仿宋" w:eastAsia="仿宋"/>
                <w:color w:val="auto"/>
                <w:sz w:val="24"/>
                <w:szCs w:val="18"/>
              </w:rPr>
              <w:t>附加分</w:t>
            </w:r>
          </w:p>
        </w:tc>
        <w:tc>
          <w:tcPr>
            <w:tcW w:w="5329" w:type="dxa"/>
            <w:gridSpan w:val="3"/>
            <w:vAlign w:val="center"/>
          </w:tcPr>
          <w:p w14:paraId="708DF6A9">
            <w:pPr>
              <w:spacing w:line="520" w:lineRule="exact"/>
              <w:jc w:val="center"/>
              <w:rPr>
                <w:rFonts w:ascii="仿宋" w:hAnsi="仿宋" w:eastAsia="仿宋"/>
                <w:color w:val="auto"/>
                <w:sz w:val="24"/>
                <w:szCs w:val="18"/>
              </w:rPr>
            </w:pPr>
            <w:r>
              <w:rPr>
                <w:rFonts w:hint="eastAsia" w:ascii="仿宋" w:hAnsi="仿宋" w:eastAsia="仿宋"/>
                <w:color w:val="auto"/>
                <w:sz w:val="24"/>
                <w:szCs w:val="18"/>
              </w:rPr>
              <w:t>加分条件</w:t>
            </w:r>
          </w:p>
        </w:tc>
        <w:tc>
          <w:tcPr>
            <w:tcW w:w="1863" w:type="dxa"/>
            <w:vAlign w:val="center"/>
          </w:tcPr>
          <w:p w14:paraId="5F280C4E">
            <w:pPr>
              <w:snapToGrid w:val="0"/>
              <w:jc w:val="center"/>
              <w:rPr>
                <w:rFonts w:ascii="仿宋" w:hAnsi="仿宋" w:eastAsia="仿宋"/>
                <w:color w:val="auto"/>
                <w:sz w:val="24"/>
                <w:szCs w:val="18"/>
              </w:rPr>
            </w:pPr>
            <w:r>
              <w:rPr>
                <w:rFonts w:hint="eastAsia" w:ascii="仿宋" w:hAnsi="仿宋" w:eastAsia="仿宋"/>
                <w:color w:val="auto"/>
                <w:sz w:val="24"/>
                <w:szCs w:val="18"/>
              </w:rPr>
              <w:t>个人自填</w:t>
            </w:r>
          </w:p>
          <w:p w14:paraId="334B7633">
            <w:pPr>
              <w:snapToGrid w:val="0"/>
              <w:jc w:val="center"/>
              <w:rPr>
                <w:rFonts w:ascii="仿宋" w:hAnsi="仿宋" w:eastAsia="仿宋"/>
                <w:color w:val="auto"/>
                <w:sz w:val="24"/>
                <w:szCs w:val="18"/>
              </w:rPr>
            </w:pPr>
            <w:r>
              <w:rPr>
                <w:rFonts w:hint="eastAsia" w:ascii="仿宋" w:hAnsi="仿宋" w:eastAsia="仿宋"/>
                <w:color w:val="auto"/>
                <w:sz w:val="24"/>
                <w:szCs w:val="18"/>
              </w:rPr>
              <w:t>加分内容</w:t>
            </w:r>
          </w:p>
        </w:tc>
        <w:tc>
          <w:tcPr>
            <w:tcW w:w="1183" w:type="dxa"/>
            <w:vAlign w:val="center"/>
          </w:tcPr>
          <w:p w14:paraId="643AB134">
            <w:pPr>
              <w:snapToGrid w:val="0"/>
              <w:jc w:val="center"/>
              <w:rPr>
                <w:rFonts w:ascii="仿宋" w:hAnsi="仿宋" w:eastAsia="仿宋"/>
                <w:color w:val="auto"/>
                <w:sz w:val="24"/>
                <w:szCs w:val="18"/>
              </w:rPr>
            </w:pPr>
            <w:r>
              <w:rPr>
                <w:rFonts w:hint="eastAsia" w:ascii="仿宋" w:hAnsi="仿宋" w:eastAsia="仿宋"/>
                <w:color w:val="auto"/>
                <w:sz w:val="24"/>
                <w:szCs w:val="18"/>
              </w:rPr>
              <w:t>个人自评得分</w:t>
            </w:r>
          </w:p>
        </w:tc>
        <w:tc>
          <w:tcPr>
            <w:tcW w:w="1134" w:type="dxa"/>
            <w:vAlign w:val="center"/>
          </w:tcPr>
          <w:p w14:paraId="66E7C2D5">
            <w:pPr>
              <w:snapToGrid w:val="0"/>
              <w:jc w:val="center"/>
              <w:rPr>
                <w:rFonts w:ascii="仿宋" w:hAnsi="仿宋" w:eastAsia="仿宋"/>
                <w:color w:val="auto"/>
                <w:sz w:val="24"/>
                <w:szCs w:val="18"/>
              </w:rPr>
            </w:pPr>
            <w:r>
              <w:rPr>
                <w:rFonts w:hint="eastAsia" w:ascii="仿宋" w:hAnsi="仿宋" w:eastAsia="仿宋"/>
                <w:color w:val="auto"/>
                <w:sz w:val="24"/>
                <w:szCs w:val="18"/>
              </w:rPr>
              <w:t>复核得分</w:t>
            </w:r>
          </w:p>
        </w:tc>
      </w:tr>
      <w:tr w14:paraId="5E28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664" w:type="dxa"/>
            <w:vMerge w:val="continue"/>
            <w:vAlign w:val="center"/>
          </w:tcPr>
          <w:p w14:paraId="08955341">
            <w:pPr>
              <w:snapToGrid w:val="0"/>
              <w:jc w:val="center"/>
              <w:rPr>
                <w:rFonts w:ascii="仿宋" w:hAnsi="仿宋" w:eastAsia="仿宋"/>
                <w:color w:val="auto"/>
                <w:sz w:val="28"/>
              </w:rPr>
            </w:pPr>
          </w:p>
        </w:tc>
        <w:tc>
          <w:tcPr>
            <w:tcW w:w="5329" w:type="dxa"/>
            <w:gridSpan w:val="3"/>
            <w:vAlign w:val="center"/>
          </w:tcPr>
          <w:p w14:paraId="784634A2">
            <w:pPr>
              <w:snapToGrid w:val="0"/>
              <w:jc w:val="left"/>
              <w:rPr>
                <w:rFonts w:ascii="仿宋" w:hAnsi="仿宋" w:eastAsia="仿宋"/>
                <w:color w:val="auto"/>
                <w:szCs w:val="21"/>
              </w:rPr>
            </w:pPr>
            <w:r>
              <w:rPr>
                <w:rFonts w:hint="eastAsia" w:ascii="仿宋" w:hAnsi="仿宋" w:eastAsia="仿宋"/>
                <w:color w:val="auto"/>
                <w:szCs w:val="21"/>
              </w:rPr>
              <w:t>（一）专业基础</w:t>
            </w:r>
          </w:p>
          <w:p w14:paraId="49C082EE">
            <w:pPr>
              <w:snapToGrid w:val="0"/>
              <w:jc w:val="left"/>
              <w:rPr>
                <w:rFonts w:hint="eastAsia" w:ascii="仿宋" w:hAnsi="仿宋" w:eastAsia="仿宋"/>
                <w:color w:val="auto"/>
                <w:szCs w:val="21"/>
              </w:rPr>
            </w:pPr>
            <w:r>
              <w:rPr>
                <w:rFonts w:hint="eastAsia" w:ascii="仿宋" w:hAnsi="仿宋" w:eastAsia="仿宋"/>
                <w:color w:val="auto"/>
                <w:szCs w:val="21"/>
              </w:rPr>
              <w:t>1.平均学分绩点同届同专业排名10%及以内，计20分；</w:t>
            </w:r>
          </w:p>
          <w:p w14:paraId="1CBED5AB">
            <w:pPr>
              <w:snapToGrid w:val="0"/>
              <w:jc w:val="left"/>
              <w:rPr>
                <w:rFonts w:hint="eastAsia" w:ascii="仿宋" w:hAnsi="仿宋" w:eastAsia="仿宋"/>
                <w:color w:val="auto"/>
                <w:szCs w:val="21"/>
              </w:rPr>
            </w:pPr>
            <w:r>
              <w:rPr>
                <w:rFonts w:hint="eastAsia" w:ascii="仿宋" w:hAnsi="仿宋" w:eastAsia="仿宋"/>
                <w:color w:val="auto"/>
                <w:szCs w:val="21"/>
              </w:rPr>
              <w:t>2.平均学分绩点同届同专业排名10%-20%（不含10%），计18分；</w:t>
            </w:r>
          </w:p>
          <w:p w14:paraId="419B2373">
            <w:pPr>
              <w:snapToGrid w:val="0"/>
              <w:jc w:val="left"/>
              <w:rPr>
                <w:rFonts w:hint="eastAsia" w:ascii="仿宋" w:hAnsi="仿宋" w:eastAsia="仿宋"/>
                <w:color w:val="auto"/>
                <w:szCs w:val="21"/>
              </w:rPr>
            </w:pPr>
            <w:r>
              <w:rPr>
                <w:rFonts w:hint="eastAsia" w:ascii="仿宋" w:hAnsi="仿宋" w:eastAsia="仿宋"/>
                <w:color w:val="auto"/>
                <w:szCs w:val="21"/>
              </w:rPr>
              <w:t>3.平均学分绩点同届同专业排名20%-30%（不含20%），计16分；</w:t>
            </w:r>
          </w:p>
          <w:p w14:paraId="614A4FDB">
            <w:pPr>
              <w:snapToGrid w:val="0"/>
              <w:jc w:val="left"/>
              <w:rPr>
                <w:rFonts w:hint="eastAsia" w:ascii="仿宋" w:hAnsi="仿宋" w:eastAsia="仿宋"/>
                <w:color w:val="auto"/>
                <w:szCs w:val="21"/>
              </w:rPr>
            </w:pPr>
            <w:r>
              <w:rPr>
                <w:rFonts w:hint="eastAsia" w:ascii="仿宋" w:hAnsi="仿宋" w:eastAsia="仿宋"/>
                <w:color w:val="auto"/>
                <w:szCs w:val="21"/>
              </w:rPr>
              <w:t>4.平均学分绩点同届同专业排名30%-40%（不含30%），计14分；</w:t>
            </w:r>
          </w:p>
          <w:p w14:paraId="6A0640C2">
            <w:pPr>
              <w:snapToGrid w:val="0"/>
              <w:jc w:val="left"/>
              <w:rPr>
                <w:rFonts w:hint="eastAsia" w:ascii="仿宋" w:hAnsi="仿宋" w:eastAsia="仿宋"/>
                <w:color w:val="auto"/>
                <w:szCs w:val="21"/>
              </w:rPr>
            </w:pPr>
            <w:r>
              <w:rPr>
                <w:rFonts w:hint="eastAsia" w:ascii="仿宋" w:hAnsi="仿宋" w:eastAsia="仿宋"/>
                <w:color w:val="auto"/>
                <w:szCs w:val="21"/>
              </w:rPr>
              <w:t>5.平均学分绩点同届同专业排名40%-50%（不含40%），计12分。</w:t>
            </w:r>
          </w:p>
          <w:p w14:paraId="1AF25067">
            <w:pPr>
              <w:snapToGrid w:val="0"/>
              <w:jc w:val="left"/>
              <w:rPr>
                <w:rFonts w:ascii="仿宋" w:hAnsi="仿宋" w:eastAsia="仿宋"/>
                <w:color w:val="auto"/>
                <w:szCs w:val="21"/>
              </w:rPr>
            </w:pPr>
            <w:r>
              <w:rPr>
                <w:rFonts w:hint="eastAsia" w:ascii="仿宋" w:hAnsi="仿宋" w:eastAsia="仿宋"/>
                <w:color w:val="auto"/>
                <w:szCs w:val="21"/>
              </w:rPr>
              <w:t>绩点排名指学生入学起始时间至推免时止所修读的所有学分课程。参加国（境）内外校际交流项目的学生在交流期间的成绩如在推免工作开始前完成学分转换的，统一纳入学业成绩；未在推免工作开始前完成学分转换的，不纳入学业成绩。</w:t>
            </w:r>
          </w:p>
        </w:tc>
        <w:tc>
          <w:tcPr>
            <w:tcW w:w="1863" w:type="dxa"/>
            <w:vAlign w:val="center"/>
          </w:tcPr>
          <w:p w14:paraId="7F246E17">
            <w:pPr>
              <w:snapToGrid w:val="0"/>
              <w:jc w:val="center"/>
              <w:rPr>
                <w:rFonts w:ascii="仿宋" w:hAnsi="仿宋" w:eastAsia="仿宋"/>
                <w:color w:val="auto"/>
                <w:sz w:val="28"/>
              </w:rPr>
            </w:pPr>
            <w:r>
              <w:rPr>
                <w:rFonts w:hint="eastAsia" w:ascii="仿宋" w:hAnsi="仿宋" w:eastAsia="仿宋"/>
                <w:color w:val="auto"/>
                <w:szCs w:val="21"/>
              </w:rPr>
              <w:t>如：平均学分绩点同届同专业排名10</w:t>
            </w:r>
            <w:r>
              <w:rPr>
                <w:rFonts w:hint="eastAsia" w:ascii="仿宋" w:hAnsi="仿宋" w:eastAsia="仿宋"/>
                <w:color w:val="auto"/>
                <w:szCs w:val="21"/>
                <w:lang w:val="en-US" w:eastAsia="zh-CN"/>
              </w:rPr>
              <w:t>.9</w:t>
            </w:r>
            <w:r>
              <w:rPr>
                <w:rFonts w:hint="eastAsia" w:ascii="仿宋" w:hAnsi="仿宋" w:eastAsia="仿宋"/>
                <w:color w:val="auto"/>
                <w:szCs w:val="21"/>
              </w:rPr>
              <w:t>%</w:t>
            </w:r>
          </w:p>
        </w:tc>
        <w:tc>
          <w:tcPr>
            <w:tcW w:w="1183" w:type="dxa"/>
            <w:vAlign w:val="center"/>
          </w:tcPr>
          <w:p w14:paraId="44BD667B">
            <w:pPr>
              <w:snapToGrid w:val="0"/>
              <w:jc w:val="center"/>
              <w:rPr>
                <w:rFonts w:hint="default" w:ascii="仿宋" w:hAnsi="仿宋" w:eastAsia="仿宋"/>
                <w:color w:val="auto"/>
                <w:sz w:val="28"/>
                <w:lang w:val="en-US" w:eastAsia="zh-CN"/>
              </w:rPr>
            </w:pPr>
            <w:r>
              <w:rPr>
                <w:rFonts w:hint="eastAsia" w:ascii="仿宋" w:hAnsi="仿宋" w:eastAsia="仿宋"/>
                <w:color w:val="auto"/>
                <w:szCs w:val="21"/>
              </w:rPr>
              <w:t>如：</w:t>
            </w:r>
            <w:r>
              <w:rPr>
                <w:rFonts w:hint="eastAsia" w:ascii="仿宋" w:hAnsi="仿宋" w:eastAsia="仿宋"/>
                <w:color w:val="auto"/>
                <w:szCs w:val="21"/>
                <w:lang w:val="en-US" w:eastAsia="zh-CN"/>
              </w:rPr>
              <w:t>18</w:t>
            </w:r>
          </w:p>
        </w:tc>
        <w:tc>
          <w:tcPr>
            <w:tcW w:w="1134" w:type="dxa"/>
            <w:vAlign w:val="center"/>
          </w:tcPr>
          <w:p w14:paraId="44A7F1F4">
            <w:pPr>
              <w:snapToGrid w:val="0"/>
              <w:jc w:val="center"/>
              <w:rPr>
                <w:rFonts w:ascii="仿宋" w:hAnsi="仿宋" w:eastAsia="仿宋"/>
                <w:color w:val="auto"/>
                <w:sz w:val="28"/>
              </w:rPr>
            </w:pPr>
          </w:p>
        </w:tc>
      </w:tr>
      <w:tr w14:paraId="65FB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664" w:type="dxa"/>
            <w:vMerge w:val="continue"/>
            <w:vAlign w:val="center"/>
          </w:tcPr>
          <w:p w14:paraId="72B6A431">
            <w:pPr>
              <w:snapToGrid w:val="0"/>
              <w:jc w:val="center"/>
              <w:rPr>
                <w:rFonts w:ascii="仿宋" w:hAnsi="仿宋" w:eastAsia="仿宋"/>
                <w:color w:val="auto"/>
                <w:sz w:val="28"/>
              </w:rPr>
            </w:pPr>
          </w:p>
        </w:tc>
        <w:tc>
          <w:tcPr>
            <w:tcW w:w="5329" w:type="dxa"/>
            <w:gridSpan w:val="3"/>
            <w:vAlign w:val="center"/>
          </w:tcPr>
          <w:p w14:paraId="33AF4F2D">
            <w:pPr>
              <w:snapToGrid w:val="0"/>
              <w:jc w:val="left"/>
              <w:rPr>
                <w:rFonts w:ascii="仿宋" w:hAnsi="仿宋" w:eastAsia="仿宋"/>
                <w:color w:val="auto"/>
                <w:szCs w:val="21"/>
              </w:rPr>
            </w:pPr>
            <w:r>
              <w:rPr>
                <w:rFonts w:hint="eastAsia" w:ascii="仿宋" w:hAnsi="仿宋" w:eastAsia="仿宋"/>
                <w:color w:val="auto"/>
                <w:szCs w:val="21"/>
              </w:rPr>
              <w:t>（二）荣誉表彰</w:t>
            </w:r>
          </w:p>
          <w:p w14:paraId="208B94A8">
            <w:pPr>
              <w:snapToGrid w:val="0"/>
              <w:jc w:val="left"/>
              <w:rPr>
                <w:rFonts w:hint="eastAsia" w:ascii="仿宋" w:hAnsi="仿宋" w:eastAsia="仿宋"/>
                <w:color w:val="auto"/>
                <w:szCs w:val="21"/>
              </w:rPr>
            </w:pPr>
            <w:r>
              <w:rPr>
                <w:rFonts w:hint="eastAsia" w:ascii="仿宋" w:hAnsi="仿宋" w:eastAsia="仿宋"/>
                <w:color w:val="auto"/>
                <w:szCs w:val="21"/>
              </w:rPr>
              <w:t>1.获“优秀共产党员”“青年五四奖章”“新时代青年先锋奖”“优秀共青团干部”“优秀团支部书记”“优秀班长”“优秀学生干部”“优秀学生骨干”“优秀学生兼职班主任”“百佳共青团员”“优秀社团骨干”“新闻社先进个人”荣誉称号。国家级计20分，省级计18分，地市及校级计15分，院级计5分；其中院级累计加分不超过20分。</w:t>
            </w:r>
          </w:p>
          <w:p w14:paraId="79536981">
            <w:pPr>
              <w:snapToGrid w:val="0"/>
              <w:jc w:val="left"/>
              <w:rPr>
                <w:rFonts w:ascii="仿宋" w:hAnsi="仿宋" w:eastAsia="仿宋"/>
                <w:color w:val="auto"/>
                <w:szCs w:val="21"/>
              </w:rPr>
            </w:pPr>
            <w:r>
              <w:rPr>
                <w:rFonts w:hint="eastAsia" w:ascii="仿宋" w:hAnsi="仿宋" w:eastAsia="仿宋"/>
                <w:color w:val="auto"/>
                <w:szCs w:val="21"/>
              </w:rPr>
              <w:t>2.获“大学生年度人物（含提名奖）”“中国大学生自强之星”“最美大学生”“向上向善好青年”“广东省学生励志成长成才典型”“感动南粤十大人物”荣誉称号，及全国大学生“三下乡”社会实践活动优秀团队负责人，广东青年大学生“百千万工程”突击队行动优秀团队、典型案例、品牌项目负责人。国家级计20分，省级计15分。</w:t>
            </w:r>
          </w:p>
        </w:tc>
        <w:tc>
          <w:tcPr>
            <w:tcW w:w="1863" w:type="dxa"/>
            <w:vAlign w:val="center"/>
          </w:tcPr>
          <w:p w14:paraId="49389D68">
            <w:pPr>
              <w:snapToGrid w:val="0"/>
              <w:jc w:val="center"/>
              <w:rPr>
                <w:rFonts w:hint="eastAsia" w:ascii="仿宋" w:hAnsi="仿宋" w:eastAsia="仿宋"/>
                <w:color w:val="auto"/>
                <w:sz w:val="28"/>
                <w:lang w:eastAsia="zh-CN"/>
              </w:rPr>
            </w:pPr>
            <w:r>
              <w:rPr>
                <w:rFonts w:hint="eastAsia" w:ascii="仿宋" w:hAnsi="仿宋" w:eastAsia="仿宋"/>
                <w:color w:val="auto"/>
                <w:szCs w:val="21"/>
              </w:rPr>
              <w:t>如：</w:t>
            </w:r>
            <w:r>
              <w:rPr>
                <w:rFonts w:hint="eastAsia" w:ascii="仿宋" w:hAnsi="仿宋" w:eastAsia="仿宋"/>
                <w:color w:val="auto"/>
                <w:szCs w:val="21"/>
                <w:lang w:val="en-US" w:eastAsia="zh-CN"/>
              </w:rPr>
              <w:t>1.校级，2024年6月，华南师范大学“优秀学生骨干”荣誉称号，华南师范大学</w:t>
            </w:r>
          </w:p>
        </w:tc>
        <w:tc>
          <w:tcPr>
            <w:tcW w:w="1183" w:type="dxa"/>
            <w:vAlign w:val="center"/>
          </w:tcPr>
          <w:p w14:paraId="17E1D434">
            <w:pPr>
              <w:snapToGrid w:val="0"/>
              <w:jc w:val="center"/>
              <w:rPr>
                <w:rFonts w:ascii="仿宋" w:hAnsi="仿宋" w:eastAsia="仿宋"/>
                <w:color w:val="auto"/>
                <w:sz w:val="28"/>
              </w:rPr>
            </w:pPr>
            <w:r>
              <w:rPr>
                <w:rFonts w:hint="eastAsia" w:ascii="仿宋" w:hAnsi="仿宋" w:eastAsia="仿宋"/>
                <w:color w:val="auto"/>
                <w:szCs w:val="21"/>
              </w:rPr>
              <w:t>如：</w:t>
            </w:r>
            <w:r>
              <w:rPr>
                <w:rFonts w:hint="eastAsia" w:ascii="仿宋" w:hAnsi="仿宋" w:eastAsia="仿宋"/>
                <w:color w:val="auto"/>
                <w:szCs w:val="21"/>
                <w:lang w:val="en-US" w:eastAsia="zh-CN"/>
              </w:rPr>
              <w:t>15</w:t>
            </w:r>
          </w:p>
        </w:tc>
        <w:tc>
          <w:tcPr>
            <w:tcW w:w="1134" w:type="dxa"/>
            <w:vAlign w:val="center"/>
          </w:tcPr>
          <w:p w14:paraId="6D53209E">
            <w:pPr>
              <w:snapToGrid w:val="0"/>
              <w:jc w:val="center"/>
              <w:rPr>
                <w:rFonts w:ascii="仿宋" w:hAnsi="仿宋" w:eastAsia="仿宋"/>
                <w:color w:val="auto"/>
                <w:sz w:val="28"/>
              </w:rPr>
            </w:pPr>
          </w:p>
        </w:tc>
      </w:tr>
      <w:tr w14:paraId="1A3A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jc w:val="center"/>
        </w:trPr>
        <w:tc>
          <w:tcPr>
            <w:tcW w:w="664" w:type="dxa"/>
            <w:vMerge w:val="continue"/>
            <w:vAlign w:val="center"/>
          </w:tcPr>
          <w:p w14:paraId="236B683C">
            <w:pPr>
              <w:snapToGrid w:val="0"/>
              <w:jc w:val="center"/>
              <w:rPr>
                <w:rFonts w:ascii="仿宋" w:hAnsi="仿宋" w:eastAsia="仿宋"/>
                <w:color w:val="auto"/>
                <w:sz w:val="28"/>
              </w:rPr>
            </w:pPr>
          </w:p>
        </w:tc>
        <w:tc>
          <w:tcPr>
            <w:tcW w:w="5329" w:type="dxa"/>
            <w:gridSpan w:val="3"/>
            <w:vAlign w:val="center"/>
          </w:tcPr>
          <w:p w14:paraId="34612A0A">
            <w:pPr>
              <w:snapToGrid w:val="0"/>
              <w:jc w:val="left"/>
              <w:rPr>
                <w:rFonts w:ascii="仿宋" w:hAnsi="仿宋" w:eastAsia="仿宋"/>
                <w:color w:val="auto"/>
                <w:szCs w:val="21"/>
              </w:rPr>
            </w:pPr>
            <w:r>
              <w:rPr>
                <w:rFonts w:hint="eastAsia" w:ascii="仿宋" w:hAnsi="仿宋" w:eastAsia="仿宋"/>
                <w:color w:val="auto"/>
                <w:szCs w:val="21"/>
              </w:rPr>
              <w:t>（三）思政素养</w:t>
            </w:r>
          </w:p>
          <w:p w14:paraId="4B2C1668">
            <w:pPr>
              <w:snapToGrid w:val="0"/>
              <w:jc w:val="left"/>
              <w:rPr>
                <w:rFonts w:hint="eastAsia" w:ascii="仿宋" w:hAnsi="仿宋" w:eastAsia="仿宋"/>
                <w:color w:val="auto"/>
                <w:szCs w:val="21"/>
              </w:rPr>
            </w:pPr>
            <w:r>
              <w:rPr>
                <w:rFonts w:hint="eastAsia" w:ascii="仿宋" w:hAnsi="仿宋" w:eastAsia="仿宋"/>
                <w:color w:val="auto"/>
                <w:szCs w:val="21"/>
              </w:rPr>
              <w:t>1.参加教育部、团中央等举办的思政类、心理类主题教育比赛获三等奖及以上且排名前三的成员，计15分；</w:t>
            </w:r>
          </w:p>
          <w:p w14:paraId="314C5313">
            <w:pPr>
              <w:snapToGrid w:val="0"/>
              <w:jc w:val="left"/>
              <w:rPr>
                <w:rFonts w:hint="eastAsia" w:ascii="仿宋" w:hAnsi="仿宋" w:eastAsia="仿宋"/>
                <w:color w:val="auto"/>
                <w:szCs w:val="21"/>
              </w:rPr>
            </w:pPr>
            <w:r>
              <w:rPr>
                <w:rFonts w:hint="eastAsia" w:ascii="仿宋" w:hAnsi="仿宋" w:eastAsia="仿宋"/>
                <w:color w:val="auto"/>
                <w:szCs w:val="21"/>
              </w:rPr>
              <w:t>2.参加教育厅、团省委等举办的思政类、心理类主题教育比赛获三等奖及以上且排名前三的成员，计10分；</w:t>
            </w:r>
          </w:p>
          <w:p w14:paraId="4E93EEE0">
            <w:pPr>
              <w:snapToGrid w:val="0"/>
              <w:jc w:val="left"/>
              <w:rPr>
                <w:rFonts w:hint="eastAsia" w:ascii="仿宋" w:hAnsi="仿宋" w:eastAsia="仿宋"/>
                <w:color w:val="auto"/>
                <w:szCs w:val="21"/>
              </w:rPr>
            </w:pPr>
            <w:r>
              <w:rPr>
                <w:rFonts w:hint="eastAsia" w:ascii="仿宋" w:hAnsi="仿宋" w:eastAsia="仿宋"/>
                <w:color w:val="auto"/>
                <w:szCs w:val="21"/>
              </w:rPr>
              <w:t>3.参加地市及学校举办的思政类、心理类主题教育比赛获三等奖及以上的负责人，计5分。</w:t>
            </w:r>
          </w:p>
          <w:p w14:paraId="5D17C9B7">
            <w:pPr>
              <w:snapToGrid w:val="0"/>
              <w:jc w:val="left"/>
              <w:rPr>
                <w:rFonts w:ascii="仿宋" w:hAnsi="仿宋" w:eastAsia="仿宋"/>
                <w:color w:val="auto"/>
                <w:szCs w:val="21"/>
              </w:rPr>
            </w:pPr>
            <w:r>
              <w:rPr>
                <w:rFonts w:hint="eastAsia" w:ascii="仿宋" w:hAnsi="仿宋" w:eastAsia="仿宋"/>
                <w:color w:val="auto"/>
                <w:szCs w:val="21"/>
              </w:rPr>
              <w:t>备注：思政类、心理类活动比赛包括但不限于习近平新时代中国特色社会主义思想大学习领航计划、广东青年大学生“百千万工程”突击队行动系列竞赛、大学生网络文化节、“中华经典诵写讲”大赛、“立志•修身•博学•报国”主题教育系列活动、“读懂中国”活动、高校廉洁教育系列活动、“学宪法讲宪法”活动、保密教育作品征集评选活动、“爱在广东”民族团结进步教育活动、高校易班技术创新大赛、大学生社会治理调研大赛、青少年模拟政协提案征集活动、党团课大赛、党团活动征文比赛、“5.25”大学生心理健康月系列活动等。</w:t>
            </w:r>
          </w:p>
        </w:tc>
        <w:tc>
          <w:tcPr>
            <w:tcW w:w="1863" w:type="dxa"/>
            <w:vAlign w:val="center"/>
          </w:tcPr>
          <w:p w14:paraId="48994FEF">
            <w:pPr>
              <w:snapToGrid w:val="0"/>
              <w:jc w:val="center"/>
              <w:rPr>
                <w:rFonts w:hint="eastAsia" w:ascii="仿宋" w:hAnsi="仿宋" w:eastAsia="仿宋"/>
                <w:color w:val="auto"/>
                <w:sz w:val="28"/>
                <w:lang w:eastAsia="zh-CN"/>
              </w:rPr>
            </w:pPr>
            <w:r>
              <w:rPr>
                <w:rFonts w:hint="eastAsia" w:ascii="仿宋" w:hAnsi="仿宋" w:eastAsia="仿宋"/>
                <w:color w:val="auto"/>
                <w:szCs w:val="21"/>
              </w:rPr>
              <w:t>如：省级，2024年1月，2023年“立志·修身·博学·报国”主题教育系列活动二等奖，</w:t>
            </w:r>
            <w:r>
              <w:rPr>
                <w:rFonts w:hint="eastAsia" w:ascii="仿宋" w:hAnsi="仿宋" w:eastAsia="仿宋"/>
                <w:color w:val="auto"/>
                <w:szCs w:val="21"/>
                <w:lang w:val="en-US" w:eastAsia="zh-CN"/>
              </w:rPr>
              <w:t>负责人/第x成员，</w:t>
            </w:r>
            <w:r>
              <w:rPr>
                <w:rFonts w:hint="eastAsia" w:ascii="仿宋" w:hAnsi="仿宋" w:eastAsia="仿宋"/>
                <w:color w:val="auto"/>
                <w:szCs w:val="21"/>
              </w:rPr>
              <w:t>广东省教育厅；</w:t>
            </w:r>
          </w:p>
        </w:tc>
        <w:tc>
          <w:tcPr>
            <w:tcW w:w="1183" w:type="dxa"/>
            <w:vAlign w:val="center"/>
          </w:tcPr>
          <w:p w14:paraId="29A7FE1E">
            <w:pPr>
              <w:snapToGrid w:val="0"/>
              <w:jc w:val="center"/>
              <w:rPr>
                <w:rFonts w:hint="default" w:ascii="仿宋" w:hAnsi="仿宋" w:eastAsia="仿宋"/>
                <w:color w:val="auto"/>
                <w:sz w:val="28"/>
                <w:lang w:val="en-US" w:eastAsia="zh-CN"/>
              </w:rPr>
            </w:pPr>
            <w:r>
              <w:rPr>
                <w:rFonts w:hint="eastAsia" w:ascii="仿宋" w:hAnsi="仿宋" w:eastAsia="仿宋"/>
                <w:color w:val="auto"/>
                <w:szCs w:val="21"/>
              </w:rPr>
              <w:t>如：</w:t>
            </w:r>
            <w:r>
              <w:rPr>
                <w:rFonts w:hint="eastAsia" w:ascii="仿宋" w:hAnsi="仿宋" w:eastAsia="仿宋"/>
                <w:color w:val="auto"/>
                <w:szCs w:val="21"/>
                <w:lang w:val="en-US" w:eastAsia="zh-CN"/>
              </w:rPr>
              <w:t>10</w:t>
            </w:r>
          </w:p>
        </w:tc>
        <w:tc>
          <w:tcPr>
            <w:tcW w:w="1134" w:type="dxa"/>
            <w:vAlign w:val="center"/>
          </w:tcPr>
          <w:p w14:paraId="6075D437">
            <w:pPr>
              <w:snapToGrid w:val="0"/>
              <w:jc w:val="center"/>
              <w:rPr>
                <w:rFonts w:ascii="仿宋" w:hAnsi="仿宋" w:eastAsia="仿宋"/>
                <w:color w:val="auto"/>
                <w:sz w:val="28"/>
              </w:rPr>
            </w:pPr>
          </w:p>
        </w:tc>
      </w:tr>
      <w:tr w14:paraId="5A8F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jc w:val="center"/>
        </w:trPr>
        <w:tc>
          <w:tcPr>
            <w:tcW w:w="664" w:type="dxa"/>
            <w:vAlign w:val="center"/>
          </w:tcPr>
          <w:p w14:paraId="2D3AA964">
            <w:pPr>
              <w:snapToGrid w:val="0"/>
              <w:jc w:val="center"/>
              <w:rPr>
                <w:rFonts w:ascii="仿宋" w:hAnsi="仿宋" w:eastAsia="仿宋"/>
                <w:color w:val="auto"/>
                <w:sz w:val="28"/>
              </w:rPr>
            </w:pPr>
          </w:p>
        </w:tc>
        <w:tc>
          <w:tcPr>
            <w:tcW w:w="5329" w:type="dxa"/>
            <w:gridSpan w:val="3"/>
            <w:vAlign w:val="center"/>
          </w:tcPr>
          <w:p w14:paraId="42110427">
            <w:pPr>
              <w:snapToGrid w:val="0"/>
              <w:jc w:val="left"/>
              <w:rPr>
                <w:rFonts w:hint="eastAsia" w:ascii="仿宋" w:hAnsi="仿宋" w:eastAsia="仿宋"/>
                <w:color w:val="auto"/>
                <w:szCs w:val="21"/>
                <w:lang w:eastAsia="zh-CN"/>
              </w:rPr>
            </w:pPr>
            <w:r>
              <w:rPr>
                <w:rFonts w:hint="eastAsia" w:ascii="仿宋" w:hAnsi="仿宋" w:eastAsia="仿宋"/>
                <w:color w:val="auto"/>
                <w:szCs w:val="21"/>
                <w:lang w:eastAsia="zh-CN"/>
              </w:rPr>
              <w:t>（</w:t>
            </w:r>
            <w:r>
              <w:rPr>
                <w:rFonts w:hint="eastAsia" w:ascii="仿宋" w:hAnsi="仿宋" w:eastAsia="仿宋"/>
                <w:color w:val="auto"/>
                <w:szCs w:val="21"/>
                <w:lang w:val="en-US" w:eastAsia="zh-CN"/>
              </w:rPr>
              <w:t>四</w:t>
            </w:r>
            <w:r>
              <w:rPr>
                <w:rFonts w:hint="eastAsia" w:ascii="仿宋" w:hAnsi="仿宋" w:eastAsia="仿宋"/>
                <w:color w:val="auto"/>
                <w:szCs w:val="21"/>
                <w:lang w:eastAsia="zh-CN"/>
              </w:rPr>
              <w:t>）学术科研</w:t>
            </w:r>
          </w:p>
          <w:p w14:paraId="752C2DEE">
            <w:pPr>
              <w:snapToGrid w:val="0"/>
              <w:jc w:val="left"/>
              <w:rPr>
                <w:rFonts w:hint="eastAsia" w:ascii="仿宋" w:hAnsi="仿宋" w:eastAsia="仿宋"/>
                <w:color w:val="auto"/>
                <w:szCs w:val="21"/>
                <w:lang w:eastAsia="zh-CN"/>
              </w:rPr>
            </w:pPr>
            <w:r>
              <w:rPr>
                <w:rFonts w:hint="eastAsia" w:ascii="仿宋" w:hAnsi="仿宋" w:eastAsia="仿宋"/>
                <w:color w:val="auto"/>
                <w:szCs w:val="21"/>
                <w:lang w:eastAsia="zh-CN"/>
              </w:rPr>
              <w:t>1.在权威机构（参见上年度学校创新奖评选认定范围）主办的学科竞赛（含师范技能竞赛）中，获奖并排名前三（含美术类的参展），国家级计10分，省级计8分，校级最高奖项计5分；</w:t>
            </w:r>
          </w:p>
          <w:p w14:paraId="0B22FA03">
            <w:pPr>
              <w:snapToGrid w:val="0"/>
              <w:jc w:val="left"/>
              <w:rPr>
                <w:rFonts w:hint="eastAsia" w:ascii="仿宋" w:hAnsi="仿宋" w:eastAsia="仿宋"/>
                <w:color w:val="auto"/>
                <w:szCs w:val="21"/>
                <w:lang w:eastAsia="zh-CN"/>
              </w:rPr>
            </w:pPr>
            <w:r>
              <w:rPr>
                <w:rFonts w:hint="eastAsia" w:ascii="仿宋" w:hAnsi="仿宋" w:eastAsia="仿宋"/>
                <w:color w:val="auto"/>
                <w:szCs w:val="21"/>
                <w:lang w:eastAsia="zh-CN"/>
              </w:rPr>
              <w:t>2.以第一作者（含独立作者）或第二作者（第一作者须为本校教师），发表被列入学校学科代表性成果推荐目录的论文，计10分；发表在其他权威期刊（北大核心、CSSCI、CSSCI来源扩展版、SSCI、SCI期刊）的论文，计5分；第一作者完成单位须为华南师范大学；</w:t>
            </w:r>
          </w:p>
          <w:p w14:paraId="127B0BC1">
            <w:pPr>
              <w:snapToGrid w:val="0"/>
              <w:jc w:val="left"/>
              <w:rPr>
                <w:rFonts w:hint="eastAsia" w:ascii="仿宋" w:hAnsi="仿宋" w:eastAsia="仿宋"/>
                <w:color w:val="auto"/>
                <w:szCs w:val="21"/>
                <w:lang w:eastAsia="zh-CN"/>
              </w:rPr>
            </w:pPr>
            <w:r>
              <w:rPr>
                <w:rFonts w:hint="eastAsia" w:ascii="仿宋" w:hAnsi="仿宋" w:eastAsia="仿宋"/>
                <w:color w:val="auto"/>
                <w:szCs w:val="21"/>
                <w:lang w:eastAsia="zh-CN"/>
              </w:rPr>
              <w:t>3.以第一作者或第二作者（第一作者须为本校教师）取得PCT国际专利或国家发明专利（不包含国家实用新型专利和外观设计专利），专利已获得授权，且专利权人署名为“华南师范大学”，计10分；</w:t>
            </w:r>
          </w:p>
          <w:p w14:paraId="08BF17B7">
            <w:pPr>
              <w:snapToGrid w:val="0"/>
              <w:jc w:val="left"/>
              <w:rPr>
                <w:rFonts w:hint="eastAsia" w:ascii="仿宋" w:hAnsi="仿宋" w:eastAsia="仿宋"/>
                <w:color w:val="auto"/>
                <w:szCs w:val="21"/>
                <w:lang w:eastAsia="zh-CN"/>
              </w:rPr>
            </w:pPr>
            <w:r>
              <w:rPr>
                <w:rFonts w:hint="eastAsia" w:ascii="仿宋" w:hAnsi="仿宋" w:eastAsia="仿宋"/>
                <w:color w:val="auto"/>
                <w:szCs w:val="21"/>
                <w:lang w:eastAsia="zh-CN"/>
              </w:rPr>
              <w:t>4.主持大学生创新创业训练计划、广东省科技创新战略专项资金（大学生科技创新培育）省级及以上项目并结题，加8分。主持校级课题并结题，计3分。</w:t>
            </w:r>
          </w:p>
        </w:tc>
        <w:tc>
          <w:tcPr>
            <w:tcW w:w="1863" w:type="dxa"/>
            <w:vAlign w:val="center"/>
          </w:tcPr>
          <w:p w14:paraId="7F54FBBD">
            <w:pPr>
              <w:snapToGrid w:val="0"/>
              <w:jc w:val="center"/>
              <w:rPr>
                <w:rFonts w:hint="default" w:ascii="仿宋" w:hAnsi="仿宋" w:eastAsia="仿宋"/>
                <w:color w:val="auto"/>
                <w:szCs w:val="21"/>
                <w:lang w:val="en-US" w:eastAsia="zh-CN"/>
              </w:rPr>
            </w:pPr>
            <w:r>
              <w:rPr>
                <w:rFonts w:hint="eastAsia" w:ascii="仿宋" w:hAnsi="仿宋" w:eastAsia="仿宋"/>
                <w:color w:val="auto"/>
                <w:szCs w:val="21"/>
                <w:lang w:val="en-US" w:eastAsia="zh-CN"/>
              </w:rPr>
              <w:t>如：2</w:t>
            </w:r>
            <w:r>
              <w:rPr>
                <w:rFonts w:hint="eastAsia" w:ascii="仿宋" w:hAnsi="仿宋" w:eastAsia="仿宋"/>
                <w:color w:val="auto"/>
                <w:szCs w:val="21"/>
              </w:rPr>
              <w:t>0</w:t>
            </w:r>
            <w:r>
              <w:rPr>
                <w:rFonts w:hint="eastAsia" w:ascii="仿宋" w:hAnsi="仿宋" w:eastAsia="仿宋"/>
                <w:color w:val="auto"/>
                <w:szCs w:val="21"/>
                <w:lang w:val="en-US" w:eastAsia="zh-CN"/>
              </w:rPr>
              <w:t>23</w:t>
            </w:r>
            <w:r>
              <w:rPr>
                <w:rFonts w:hint="eastAsia" w:ascii="仿宋" w:hAnsi="仿宋" w:eastAsia="仿宋"/>
                <w:color w:val="auto"/>
                <w:szCs w:val="21"/>
              </w:rPr>
              <w:t>年3月，以第</w:t>
            </w:r>
            <w:r>
              <w:rPr>
                <w:rFonts w:hint="eastAsia" w:ascii="仿宋" w:hAnsi="仿宋" w:eastAsia="仿宋"/>
                <w:color w:val="auto"/>
                <w:szCs w:val="21"/>
                <w:lang w:val="en-US" w:eastAsia="zh-CN"/>
              </w:rPr>
              <w:t>一</w:t>
            </w:r>
            <w:r>
              <w:rPr>
                <w:rFonts w:hint="eastAsia" w:ascii="仿宋" w:hAnsi="仿宋" w:eastAsia="仿宋"/>
                <w:color w:val="auto"/>
                <w:szCs w:val="21"/>
              </w:rPr>
              <w:t>作者在xx(期刊全称）发表论文xx（论文全称），该期刊为学校科研部门当年收录的（CSSCI）南大核心/《中文核心期刊目录总览》北大核心刊物</w:t>
            </w:r>
            <w:r>
              <w:rPr>
                <w:rFonts w:hint="eastAsia" w:ascii="仿宋" w:hAnsi="仿宋" w:eastAsia="仿宋"/>
                <w:color w:val="auto"/>
                <w:szCs w:val="21"/>
                <w:lang w:eastAsia="zh-CN"/>
              </w:rPr>
              <w:t>，</w:t>
            </w:r>
            <w:r>
              <w:rPr>
                <w:rFonts w:hint="eastAsia" w:ascii="仿宋" w:hAnsi="仿宋" w:eastAsia="仿宋"/>
                <w:color w:val="auto"/>
                <w:szCs w:val="21"/>
                <w:lang w:val="en-US" w:eastAsia="zh-CN"/>
              </w:rPr>
              <w:t>第一作者完成单位为华南师范大学</w:t>
            </w:r>
          </w:p>
        </w:tc>
        <w:tc>
          <w:tcPr>
            <w:tcW w:w="1183" w:type="dxa"/>
            <w:vAlign w:val="center"/>
          </w:tcPr>
          <w:p w14:paraId="73588F1A">
            <w:pPr>
              <w:snapToGrid w:val="0"/>
              <w:jc w:val="center"/>
              <w:rPr>
                <w:rFonts w:hint="default" w:ascii="仿宋" w:hAnsi="仿宋" w:eastAsia="仿宋"/>
                <w:color w:val="auto"/>
                <w:szCs w:val="21"/>
                <w:lang w:val="en-US" w:eastAsia="zh-CN"/>
              </w:rPr>
            </w:pPr>
            <w:r>
              <w:rPr>
                <w:rFonts w:hint="eastAsia" w:ascii="仿宋" w:hAnsi="仿宋" w:eastAsia="仿宋"/>
                <w:color w:val="auto"/>
                <w:szCs w:val="21"/>
                <w:lang w:val="en-US" w:eastAsia="zh-CN"/>
              </w:rPr>
              <w:t>如：10</w:t>
            </w:r>
          </w:p>
        </w:tc>
        <w:tc>
          <w:tcPr>
            <w:tcW w:w="1134" w:type="dxa"/>
            <w:vAlign w:val="center"/>
          </w:tcPr>
          <w:p w14:paraId="7F3F89DD">
            <w:pPr>
              <w:snapToGrid w:val="0"/>
              <w:jc w:val="center"/>
              <w:rPr>
                <w:rFonts w:ascii="仿宋" w:hAnsi="仿宋" w:eastAsia="仿宋"/>
                <w:color w:val="auto"/>
                <w:sz w:val="28"/>
              </w:rPr>
            </w:pPr>
          </w:p>
        </w:tc>
      </w:tr>
      <w:tr w14:paraId="0B5F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808" w:type="dxa"/>
            <w:gridSpan w:val="2"/>
            <w:vAlign w:val="center"/>
          </w:tcPr>
          <w:p w14:paraId="5B9E49AF">
            <w:pPr>
              <w:snapToGrid w:val="0"/>
              <w:jc w:val="center"/>
              <w:rPr>
                <w:rFonts w:ascii="仿宋" w:hAnsi="仿宋" w:eastAsia="仿宋"/>
                <w:color w:val="auto"/>
                <w:sz w:val="24"/>
                <w:szCs w:val="18"/>
              </w:rPr>
            </w:pPr>
            <w:r>
              <w:rPr>
                <w:rFonts w:hint="eastAsia" w:ascii="仿宋" w:hAnsi="仿宋" w:eastAsia="仿宋"/>
                <w:color w:val="auto"/>
                <w:sz w:val="24"/>
                <w:szCs w:val="18"/>
              </w:rPr>
              <w:t>证明材料份数</w:t>
            </w:r>
          </w:p>
        </w:tc>
        <w:tc>
          <w:tcPr>
            <w:tcW w:w="4185" w:type="dxa"/>
            <w:gridSpan w:val="2"/>
            <w:vAlign w:val="center"/>
          </w:tcPr>
          <w:p w14:paraId="786EA209">
            <w:pPr>
              <w:snapToGrid w:val="0"/>
              <w:jc w:val="center"/>
              <w:rPr>
                <w:rFonts w:hint="default" w:ascii="仿宋" w:hAnsi="仿宋" w:eastAsia="仿宋"/>
                <w:color w:val="auto"/>
                <w:sz w:val="24"/>
                <w:szCs w:val="18"/>
                <w:lang w:val="en-US" w:eastAsia="zh-CN"/>
              </w:rPr>
            </w:pPr>
            <w:r>
              <w:rPr>
                <w:rFonts w:hint="eastAsia" w:ascii="仿宋" w:hAnsi="仿宋" w:eastAsia="仿宋"/>
                <w:color w:val="auto"/>
                <w:sz w:val="24"/>
                <w:szCs w:val="18"/>
                <w:lang w:val="en-US" w:eastAsia="zh-CN"/>
              </w:rPr>
              <w:t>份</w:t>
            </w:r>
          </w:p>
        </w:tc>
        <w:tc>
          <w:tcPr>
            <w:tcW w:w="1863" w:type="dxa"/>
            <w:vAlign w:val="center"/>
          </w:tcPr>
          <w:p w14:paraId="794DA6B0">
            <w:pPr>
              <w:snapToGrid w:val="0"/>
              <w:jc w:val="center"/>
              <w:rPr>
                <w:rFonts w:ascii="仿宋" w:hAnsi="仿宋" w:eastAsia="仿宋"/>
                <w:color w:val="auto"/>
                <w:sz w:val="24"/>
                <w:szCs w:val="18"/>
              </w:rPr>
            </w:pPr>
            <w:r>
              <w:rPr>
                <w:rFonts w:hint="eastAsia" w:ascii="仿宋" w:hAnsi="仿宋" w:eastAsia="仿宋"/>
                <w:color w:val="auto"/>
                <w:sz w:val="24"/>
                <w:szCs w:val="18"/>
              </w:rPr>
              <w:t>总分</w:t>
            </w:r>
          </w:p>
        </w:tc>
        <w:tc>
          <w:tcPr>
            <w:tcW w:w="1183" w:type="dxa"/>
            <w:vAlign w:val="center"/>
          </w:tcPr>
          <w:p w14:paraId="0E7BFE3D">
            <w:pPr>
              <w:snapToGrid w:val="0"/>
              <w:jc w:val="center"/>
              <w:rPr>
                <w:rFonts w:hint="default" w:ascii="仿宋" w:hAnsi="仿宋" w:eastAsia="仿宋"/>
                <w:color w:val="auto"/>
                <w:sz w:val="24"/>
                <w:szCs w:val="18"/>
                <w:lang w:val="en-US" w:eastAsia="zh-CN"/>
              </w:rPr>
            </w:pPr>
            <w:r>
              <w:rPr>
                <w:rFonts w:hint="eastAsia" w:ascii="仿宋" w:hAnsi="仿宋" w:eastAsia="仿宋"/>
                <w:color w:val="auto"/>
                <w:sz w:val="24"/>
                <w:szCs w:val="18"/>
                <w:lang w:val="en-US" w:eastAsia="zh-CN"/>
              </w:rPr>
              <w:t>53</w:t>
            </w:r>
          </w:p>
        </w:tc>
        <w:tc>
          <w:tcPr>
            <w:tcW w:w="1134" w:type="dxa"/>
            <w:vAlign w:val="center"/>
          </w:tcPr>
          <w:p w14:paraId="4EB5A2CA">
            <w:pPr>
              <w:snapToGrid w:val="0"/>
              <w:jc w:val="center"/>
              <w:rPr>
                <w:rFonts w:ascii="仿宋" w:hAnsi="仿宋" w:eastAsia="仿宋"/>
                <w:color w:val="auto"/>
                <w:sz w:val="24"/>
                <w:szCs w:val="18"/>
              </w:rPr>
            </w:pPr>
          </w:p>
        </w:tc>
      </w:tr>
      <w:tr w14:paraId="59787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9" w:hRule="atLeast"/>
          <w:jc w:val="center"/>
        </w:trPr>
        <w:tc>
          <w:tcPr>
            <w:tcW w:w="1808" w:type="dxa"/>
            <w:gridSpan w:val="2"/>
            <w:vAlign w:val="center"/>
          </w:tcPr>
          <w:p w14:paraId="63FFD6B6">
            <w:pPr>
              <w:snapToGrid w:val="0"/>
              <w:jc w:val="center"/>
              <w:rPr>
                <w:rFonts w:ascii="仿宋" w:hAnsi="仿宋" w:eastAsia="仿宋"/>
                <w:color w:val="auto"/>
                <w:sz w:val="24"/>
                <w:szCs w:val="18"/>
              </w:rPr>
            </w:pPr>
            <w:r>
              <w:rPr>
                <w:rFonts w:hint="eastAsia" w:ascii="仿宋" w:hAnsi="仿宋" w:eastAsia="仿宋"/>
                <w:color w:val="auto"/>
                <w:sz w:val="24"/>
                <w:szCs w:val="18"/>
              </w:rPr>
              <w:t>申请人</w:t>
            </w:r>
          </w:p>
          <w:p w14:paraId="2CAC5AE2">
            <w:pPr>
              <w:snapToGrid w:val="0"/>
              <w:jc w:val="center"/>
              <w:rPr>
                <w:rFonts w:ascii="仿宋" w:hAnsi="仿宋" w:eastAsia="仿宋"/>
                <w:color w:val="auto"/>
                <w:sz w:val="24"/>
                <w:szCs w:val="18"/>
              </w:rPr>
            </w:pPr>
            <w:r>
              <w:rPr>
                <w:rFonts w:hint="eastAsia" w:ascii="仿宋" w:hAnsi="仿宋" w:eastAsia="仿宋"/>
                <w:color w:val="auto"/>
                <w:sz w:val="24"/>
                <w:szCs w:val="18"/>
              </w:rPr>
              <w:t>签名</w:t>
            </w:r>
          </w:p>
        </w:tc>
        <w:tc>
          <w:tcPr>
            <w:tcW w:w="8365" w:type="dxa"/>
            <w:gridSpan w:val="5"/>
            <w:vAlign w:val="center"/>
          </w:tcPr>
          <w:p w14:paraId="17CE6862">
            <w:pPr>
              <w:snapToGrid w:val="0"/>
              <w:ind w:firstLine="480" w:firstLineChars="200"/>
              <w:rPr>
                <w:rFonts w:ascii="仿宋" w:hAnsi="仿宋" w:eastAsia="仿宋"/>
                <w:color w:val="auto"/>
                <w:sz w:val="24"/>
                <w:szCs w:val="18"/>
              </w:rPr>
            </w:pPr>
          </w:p>
          <w:p w14:paraId="059C3363">
            <w:pPr>
              <w:snapToGrid w:val="0"/>
              <w:ind w:firstLine="480" w:firstLineChars="200"/>
              <w:rPr>
                <w:rFonts w:ascii="仿宋" w:hAnsi="仿宋" w:eastAsia="仿宋"/>
                <w:color w:val="auto"/>
                <w:sz w:val="24"/>
                <w:szCs w:val="18"/>
              </w:rPr>
            </w:pPr>
            <w:r>
              <w:rPr>
                <w:rFonts w:hint="eastAsia" w:ascii="仿宋" w:hAnsi="仿宋" w:eastAsia="仿宋"/>
                <w:color w:val="auto"/>
                <w:sz w:val="24"/>
                <w:szCs w:val="18"/>
              </w:rPr>
              <w:t>本人保证以上信息及提交材料的真实性。</w:t>
            </w:r>
          </w:p>
          <w:p w14:paraId="6BEB7D00">
            <w:pPr>
              <w:snapToGrid w:val="0"/>
              <w:ind w:firstLine="480" w:firstLineChars="200"/>
              <w:rPr>
                <w:rFonts w:ascii="仿宋" w:hAnsi="仿宋" w:eastAsia="仿宋"/>
                <w:color w:val="auto"/>
                <w:sz w:val="24"/>
                <w:szCs w:val="18"/>
              </w:rPr>
            </w:pPr>
          </w:p>
          <w:p w14:paraId="15978555">
            <w:pPr>
              <w:snapToGrid w:val="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签字：</w:t>
            </w:r>
          </w:p>
          <w:p w14:paraId="69B6C1B7">
            <w:pPr>
              <w:snapToGrid w:val="0"/>
              <w:ind w:firstLine="720" w:firstLineChars="30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年    月   日</w:t>
            </w:r>
          </w:p>
        </w:tc>
      </w:tr>
    </w:tbl>
    <w:p w14:paraId="3D90F471">
      <w:pPr>
        <w:spacing w:line="520" w:lineRule="exact"/>
        <w:rPr>
          <w:rFonts w:ascii="华文中宋" w:hAnsi="华文中宋" w:eastAsia="华文中宋"/>
          <w:color w:val="auto"/>
          <w:sz w:val="36"/>
          <w:szCs w:val="36"/>
        </w:rPr>
      </w:pPr>
      <w:r>
        <w:rPr>
          <w:rFonts w:ascii="仿宋" w:hAnsi="仿宋" w:eastAsia="仿宋"/>
          <w:color w:val="auto"/>
          <w:sz w:val="24"/>
          <w:szCs w:val="24"/>
        </w:rPr>
        <w:t xml:space="preserve"> （注：</w:t>
      </w:r>
      <w:r>
        <w:rPr>
          <w:rFonts w:hint="eastAsia" w:ascii="仿宋" w:hAnsi="仿宋" w:eastAsia="仿宋"/>
          <w:color w:val="auto"/>
          <w:sz w:val="24"/>
          <w:szCs w:val="24"/>
        </w:rPr>
        <w:t>1.请勿调整表格格式；2.证明材料按照此表顺序附后并装订成册</w:t>
      </w:r>
      <w:r>
        <w:rPr>
          <w:rFonts w:ascii="仿宋" w:hAnsi="仿宋" w:eastAsia="仿宋"/>
          <w:color w:val="auto"/>
          <w:sz w:val="24"/>
          <w:szCs w:val="24"/>
        </w:rPr>
        <w:t>）</w:t>
      </w:r>
    </w:p>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CD026A-FF00-42C3-9502-E36E2EAC9F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3D88B27-DDEE-4869-AE76-B90A04C068A0}"/>
  </w:font>
  <w:font w:name="方正小标宋简体">
    <w:panose1 w:val="02000000000000000000"/>
    <w:charset w:val="86"/>
    <w:family w:val="auto"/>
    <w:pitch w:val="default"/>
    <w:sig w:usb0="00000001" w:usb1="080E0000" w:usb2="00000000" w:usb3="00000000" w:csb0="00040000" w:csb1="00000000"/>
    <w:embedRegular r:id="rId3" w:fontKey="{82CA9BEC-F8E1-4D23-B1E0-11F7D4447305}"/>
  </w:font>
  <w:font w:name="仿宋">
    <w:panose1 w:val="02010609060101010101"/>
    <w:charset w:val="86"/>
    <w:family w:val="modern"/>
    <w:pitch w:val="default"/>
    <w:sig w:usb0="800002BF" w:usb1="38CF7CFA" w:usb2="00000016" w:usb3="00000000" w:csb0="00040001" w:csb1="00000000"/>
    <w:embedRegular r:id="rId4" w:fontKey="{66098E86-0C7C-4038-BB5E-A493B8153395}"/>
  </w:font>
  <w:font w:name="华文中宋">
    <w:panose1 w:val="02010600040101010101"/>
    <w:charset w:val="86"/>
    <w:family w:val="auto"/>
    <w:pitch w:val="default"/>
    <w:sig w:usb0="00000287" w:usb1="080F0000" w:usb2="00000000" w:usb3="00000000" w:csb0="0004009F" w:csb1="DFD70000"/>
    <w:embedRegular r:id="rId5" w:fontKey="{155AC6A8-4538-49AF-96A7-2C6E6F2FEAB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YWY4NzZiOTBmMmY0NTIxOWVlMDE1OWM0MTFiNzAifQ=="/>
  </w:docVars>
  <w:rsids>
    <w:rsidRoot w:val="00105A5D"/>
    <w:rsid w:val="00105A5D"/>
    <w:rsid w:val="001534BF"/>
    <w:rsid w:val="00212123"/>
    <w:rsid w:val="00213D0A"/>
    <w:rsid w:val="00266DB3"/>
    <w:rsid w:val="003669F7"/>
    <w:rsid w:val="003F60FF"/>
    <w:rsid w:val="00583045"/>
    <w:rsid w:val="006930B0"/>
    <w:rsid w:val="006B4578"/>
    <w:rsid w:val="0073293D"/>
    <w:rsid w:val="00755ED9"/>
    <w:rsid w:val="008826C9"/>
    <w:rsid w:val="00912D22"/>
    <w:rsid w:val="00A151C5"/>
    <w:rsid w:val="00B17EEF"/>
    <w:rsid w:val="00C03FC2"/>
    <w:rsid w:val="00C759A3"/>
    <w:rsid w:val="00CB6D49"/>
    <w:rsid w:val="00DC629A"/>
    <w:rsid w:val="00E605DB"/>
    <w:rsid w:val="00EC2D5A"/>
    <w:rsid w:val="00F97ECD"/>
    <w:rsid w:val="00FA4DD0"/>
    <w:rsid w:val="00FD3820"/>
    <w:rsid w:val="01176EA7"/>
    <w:rsid w:val="02663FE3"/>
    <w:rsid w:val="04697A1A"/>
    <w:rsid w:val="103D5A5D"/>
    <w:rsid w:val="161F66E0"/>
    <w:rsid w:val="16313D60"/>
    <w:rsid w:val="165B4E1E"/>
    <w:rsid w:val="188B43D5"/>
    <w:rsid w:val="1ACF3FB2"/>
    <w:rsid w:val="1B45248B"/>
    <w:rsid w:val="1BE7754E"/>
    <w:rsid w:val="1CA64C19"/>
    <w:rsid w:val="1D6A7A7F"/>
    <w:rsid w:val="1E875215"/>
    <w:rsid w:val="230F57AC"/>
    <w:rsid w:val="245B3079"/>
    <w:rsid w:val="24980833"/>
    <w:rsid w:val="2C8134D6"/>
    <w:rsid w:val="30FE539D"/>
    <w:rsid w:val="3C5F0590"/>
    <w:rsid w:val="3DF14883"/>
    <w:rsid w:val="42A26197"/>
    <w:rsid w:val="44162693"/>
    <w:rsid w:val="47016367"/>
    <w:rsid w:val="4B910F27"/>
    <w:rsid w:val="4CA46647"/>
    <w:rsid w:val="518423BF"/>
    <w:rsid w:val="52651831"/>
    <w:rsid w:val="5516017D"/>
    <w:rsid w:val="5E157702"/>
    <w:rsid w:val="62F410A2"/>
    <w:rsid w:val="640E6A16"/>
    <w:rsid w:val="648D138E"/>
    <w:rsid w:val="70B121E3"/>
    <w:rsid w:val="7AC10960"/>
    <w:rsid w:val="7AE5221C"/>
    <w:rsid w:val="7B5D2B7E"/>
    <w:rsid w:val="7BD370F9"/>
    <w:rsid w:val="7D760E7B"/>
    <w:rsid w:val="7ECA3269"/>
    <w:rsid w:val="7F3D3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 w:type="paragraph" w:customStyle="1" w:styleId="8">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1618</Words>
  <Characters>1733</Characters>
  <Lines>10</Lines>
  <Paragraphs>2</Paragraphs>
  <TotalTime>13</TotalTime>
  <ScaleCrop>false</ScaleCrop>
  <LinksUpToDate>false</LinksUpToDate>
  <CharactersWithSpaces>1808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roc Yao</cp:lastModifiedBy>
  <dcterms:modified xsi:type="dcterms:W3CDTF">2026-04-30T07:53:14Z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6DF53A7A52FD4621B756E86C7011F665_13</vt:lpwstr>
  </property>
  <property fmtid="{D5CDD505-2E9C-101B-9397-08002B2CF9AE}" pid="4" name="KSOTemplateDocerSaveRecord">
    <vt:lpwstr>eyJoZGlkIjoiNDMyZTYzZDAzYjkxMGEzZDkzMGUyODJhNWQ1MDkzZTEiLCJ1c2VySWQiOiIxMTMxMzIyNTAxIn0=</vt:lpwstr>
  </property>
</Properties>
</file>