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课程考试计划调整申请表</w:t>
      </w:r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/>
        <w:jc w:val="right"/>
        <w:textAlignment w:val="auto"/>
        <w:rPr>
          <w:rFonts w:hint="eastAsia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 20</w:t>
      </w:r>
      <w:r>
        <w:rPr>
          <w:rFonts w:hint="eastAsia" w:ascii="宋体" w:hAnsi="宋体"/>
          <w:sz w:val="24"/>
          <w:lang w:val="en-US" w:eastAsia="zh-CN"/>
        </w:rPr>
        <w:t>21</w:t>
      </w:r>
      <w:r>
        <w:rPr>
          <w:rFonts w:hint="eastAsia" w:ascii="宋体" w:hAnsi="宋体"/>
          <w:sz w:val="24"/>
          <w:lang w:eastAsia="zh-CN"/>
        </w:rPr>
        <w:t>—</w:t>
      </w:r>
      <w:r>
        <w:rPr>
          <w:rFonts w:hint="eastAsia" w:ascii="宋体" w:hAnsi="宋体"/>
          <w:sz w:val="24"/>
        </w:rPr>
        <w:t>20</w:t>
      </w:r>
      <w:r>
        <w:rPr>
          <w:rFonts w:hint="eastAsia" w:ascii="宋体" w:hAnsi="宋体"/>
          <w:sz w:val="24"/>
          <w:lang w:val="en-US" w:eastAsia="zh-CN"/>
        </w:rPr>
        <w:t>22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）学期</w:t>
      </w:r>
    </w:p>
    <w:tbl>
      <w:tblPr>
        <w:tblStyle w:val="3"/>
        <w:tblW w:w="8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319"/>
        <w:gridCol w:w="2282"/>
        <w:gridCol w:w="168"/>
        <w:gridCol w:w="1278"/>
        <w:gridCol w:w="894"/>
        <w:gridCol w:w="1080"/>
        <w:gridCol w:w="587"/>
        <w:gridCol w:w="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9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开课单位</w:t>
            </w:r>
          </w:p>
        </w:tc>
        <w:tc>
          <w:tcPr>
            <w:tcW w:w="228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任课教师</w:t>
            </w:r>
          </w:p>
        </w:tc>
        <w:tc>
          <w:tcPr>
            <w:tcW w:w="224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修读性质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学分</w:t>
            </w:r>
          </w:p>
        </w:tc>
        <w:tc>
          <w:tcPr>
            <w:tcW w:w="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授课对象</w:t>
            </w:r>
          </w:p>
        </w:tc>
        <w:tc>
          <w:tcPr>
            <w:tcW w:w="2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原考核方式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拟考核方式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教学起止周</w:t>
            </w:r>
          </w:p>
        </w:tc>
        <w:tc>
          <w:tcPr>
            <w:tcW w:w="686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    周  至  第     周（周      第            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9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拟调整考试时间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     周          节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考试地点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4" w:hRule="atLeast"/>
          <w:jc w:val="center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20" w:firstLineChars="50"/>
              <w:textAlignment w:val="auto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18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652" w:firstLineChars="2355"/>
              <w:jc w:val="right"/>
              <w:textAlignment w:val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4414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专业负责人</w:t>
            </w:r>
            <w:r>
              <w:rPr>
                <w:rFonts w:hint="eastAsia" w:ascii="宋体" w:hAnsi="宋体"/>
              </w:rPr>
              <w:t xml:space="preserve">意见：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0" w:firstLineChars="10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0" w:firstLineChars="10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-1" w:hanging="2" w:hangingChars="1"/>
              <w:jc w:val="righ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 名:             年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  日</w:t>
            </w:r>
          </w:p>
        </w:tc>
        <w:tc>
          <w:tcPr>
            <w:tcW w:w="44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院（系）意见：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560" w:firstLineChars="19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 章:               年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8827" w:type="dxa"/>
            <w:gridSpan w:val="9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教务处意见：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签 名:           年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8827" w:type="dxa"/>
            <w:gridSpan w:val="9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 注：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ind w:left="630" w:hanging="630" w:hangingChars="300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注:1、后半学期结束的必修、限选等闭卷考试的课程原则上安排在考试周内执行，提前考试需填此表报批。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ind w:left="630" w:leftChars="150" w:hanging="315" w:hangingChars="150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2、专业任选、公共选修、辅修、双专业、双学位及开卷考试等课程考试可安排在考试周前一周进行，无需报批。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ind w:left="630" w:hanging="630" w:hangingChars="300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3、调整课程考试时间必须提前二周申报。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ind w:left="630" w:leftChars="150" w:hanging="315" w:hangingChars="150"/>
        <w:textAlignment w:val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4、调整课程考试计划申报表由院（系）集中送教务处审批，不接受教师个人申报。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exact"/>
        <w:ind w:left="630" w:leftChars="150" w:hanging="315" w:hangingChars="150"/>
        <w:textAlignment w:val="auto"/>
        <w:rPr>
          <w:rFonts w:hint="eastAsia" w:ascii="宋体" w:hAnsi="宋体"/>
          <w:bCs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YmYyYTRkZGViOTIzNzEwMmJlNTEzZmEzNTgwY2IifQ=="/>
  </w:docVars>
  <w:rsids>
    <w:rsidRoot w:val="7BF4768F"/>
    <w:rsid w:val="7BF4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2022-05-18T03:24:00Z</dcterms:created>
  <dc:creator>Stellar</dc:creator>
  <cp:lastModifiedBy>Stellar</cp:lastModifiedBy>
  <dcterms:modified xsi:type="dcterms:W3CDTF">2022-05-18T03:24:47Z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8C9F717F566F40A8B0F842D8827EE125</vt:lpwstr>
  </property>
</Properties>
</file>