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Cs/>
          <w:szCs w:val="21"/>
          <w:lang w:val="en-US" w:eastAsia="zh-CN"/>
        </w:rPr>
      </w:pPr>
    </w:p>
    <w:p>
      <w:pPr>
        <w:adjustRightInd w:val="0"/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32"/>
          <w:szCs w:val="32"/>
          <w:lang w:val="en-US" w:eastAsia="zh-CN"/>
        </w:rPr>
        <w:t>阿伯丁学院</w:t>
      </w:r>
      <w:r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32"/>
          <w:szCs w:val="32"/>
        </w:rPr>
        <w:t>课程考试双向细目表</w:t>
      </w:r>
    </w:p>
    <w:bookmarkEnd w:id="0"/>
    <w:p>
      <w:pPr>
        <w:adjustRightInd w:val="0"/>
        <w:spacing w:line="360" w:lineRule="exact"/>
        <w:jc w:val="left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u w:val="single"/>
        </w:rPr>
      </w:pPr>
    </w:p>
    <w:p>
      <w:pPr>
        <w:adjustRightInd w:val="0"/>
        <w:spacing w:line="360" w:lineRule="exact"/>
        <w:rPr>
          <w:rFonts w:hint="eastAsia" w:ascii="仿宋" w:hAnsi="仿宋" w:eastAsia="仿宋"/>
          <w:snapToGrid w:val="0"/>
          <w:kern w:val="0"/>
          <w:sz w:val="24"/>
          <w:u w:val="single"/>
        </w:rPr>
      </w:pPr>
      <w:r>
        <w:rPr>
          <w:rFonts w:hint="eastAsia" w:ascii="仿宋" w:hAnsi="仿宋" w:eastAsia="仿宋"/>
          <w:snapToGrid w:val="0"/>
          <w:kern w:val="0"/>
          <w:sz w:val="24"/>
        </w:rPr>
        <w:t>考试科目：</w:t>
      </w:r>
      <w:r>
        <w:rPr>
          <w:rFonts w:hint="eastAsia" w:ascii="仿宋" w:hAnsi="仿宋" w:eastAsia="仿宋"/>
          <w:snapToGrid w:val="0"/>
          <w:kern w:val="0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snapToGrid w:val="0"/>
          <w:kern w:val="0"/>
          <w:sz w:val="24"/>
        </w:rPr>
        <w:t>年级、专业：</w:t>
      </w:r>
      <w:r>
        <w:rPr>
          <w:rFonts w:hint="eastAsia" w:ascii="仿宋" w:hAnsi="仿宋" w:eastAsia="仿宋"/>
          <w:snapToGrid w:val="0"/>
          <w:kern w:val="0"/>
          <w:sz w:val="24"/>
          <w:u w:val="single"/>
        </w:rPr>
        <w:t xml:space="preserve">                  </w:t>
      </w:r>
    </w:p>
    <w:p>
      <w:pPr>
        <w:adjustRightInd w:val="0"/>
        <w:spacing w:line="360" w:lineRule="exact"/>
        <w:rPr>
          <w:rFonts w:hint="eastAsia" w:ascii="仿宋" w:hAnsi="仿宋" w:eastAsia="仿宋"/>
          <w:snapToGrid w:val="0"/>
          <w:kern w:val="0"/>
          <w:sz w:val="24"/>
          <w:u w:val="single"/>
        </w:rPr>
      </w:pPr>
      <w:r>
        <w:rPr>
          <w:rFonts w:hint="eastAsia" w:ascii="仿宋" w:hAnsi="仿宋" w:eastAsia="仿宋"/>
          <w:snapToGrid w:val="0"/>
          <w:kern w:val="0"/>
          <w:sz w:val="24"/>
        </w:rPr>
        <w:t>考试时间：</w:t>
      </w:r>
      <w:r>
        <w:rPr>
          <w:rFonts w:hint="eastAsia" w:ascii="仿宋" w:hAnsi="仿宋" w:eastAsia="仿宋"/>
          <w:snapToGrid w:val="0"/>
          <w:kern w:val="0"/>
          <w:sz w:val="24"/>
          <w:u w:val="single"/>
        </w:rPr>
        <w:t xml:space="preserve">                     </w:t>
      </w:r>
      <w:r>
        <w:rPr>
          <w:rFonts w:hint="eastAsia" w:ascii="仿宋" w:hAnsi="仿宋" w:eastAsia="仿宋"/>
          <w:snapToGrid w:val="0"/>
          <w:kern w:val="0"/>
          <w:sz w:val="24"/>
        </w:rPr>
        <w:t>命题教师：</w:t>
      </w:r>
      <w:r>
        <w:rPr>
          <w:rFonts w:hint="eastAsia" w:ascii="仿宋" w:hAnsi="仿宋" w:eastAsia="仿宋"/>
          <w:snapToGrid w:val="0"/>
          <w:kern w:val="0"/>
          <w:sz w:val="24"/>
          <w:u w:val="single"/>
        </w:rPr>
        <w:t xml:space="preserve">                    </w:t>
      </w:r>
    </w:p>
    <w:p>
      <w:pPr>
        <w:adjustRightInd w:val="0"/>
        <w:spacing w:line="360" w:lineRule="exact"/>
        <w:rPr>
          <w:rFonts w:hint="eastAsia" w:ascii="仿宋" w:hAnsi="仿宋" w:eastAsia="仿宋"/>
          <w:snapToGrid w:val="0"/>
          <w:kern w:val="0"/>
          <w:sz w:val="24"/>
          <w:u w:val="single"/>
        </w:rPr>
      </w:pPr>
    </w:p>
    <w:tbl>
      <w:tblPr>
        <w:tblStyle w:val="3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8"/>
        <w:gridCol w:w="720"/>
        <w:gridCol w:w="720"/>
        <w:gridCol w:w="1208"/>
        <w:gridCol w:w="117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-2540</wp:posOffset>
                      </wp:positionV>
                      <wp:extent cx="1527810" cy="803910"/>
                      <wp:effectExtent l="1905" t="4445" r="13335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7810" cy="8039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4.3pt;margin-top:-0.2pt;height:63.3pt;width:120.3pt;z-index:251659264;mso-width-relative:page;mso-height-relative:page;" filled="f" stroked="t" coordsize="21600,21600" o:gfxdata="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8jrh9cAAAAJAQAADwAAAAAAAAABACAAAAAiAAAAZHJzL2Rvd25yZXYueG1sUEsB&#10;AhQAFAAAAAgAh07iQBgjcZf2AQAA6QMAAA4AAAAAAAAAAQAgAAAAJ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     分             水</w:t>
            </w:r>
          </w:p>
          <w:p>
            <w:pPr>
              <w:adjustRightInd w:val="0"/>
              <w:spacing w:line="360" w:lineRule="exact"/>
              <w:ind w:firstLine="630" w:firstLineChars="300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115570</wp:posOffset>
                      </wp:positionV>
                      <wp:extent cx="2242820" cy="491490"/>
                      <wp:effectExtent l="1270" t="4445" r="3810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820" cy="4914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9.1pt;height:38.7pt;width:176.6pt;z-index:251660288;mso-width-relative:page;mso-height-relative:page;" filled="f" stroked="t" coordsize="21600,21600" o:gfxdata="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bhCp2AAAAAkBAAAPAAAAAAAAAAEAIAAAACIAAABkcnMvZG93bnJldi54&#10;bWxQSwECFAAUAAAACACHTuJA2sPPdfoBAADpAwAADgAAAAAAAAABACAAAAAn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    值            平</w:t>
            </w:r>
          </w:p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考试内容（章）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 w:line="360" w:lineRule="exact"/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  <w:t>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 w:line="360" w:lineRule="exact"/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  <w:t>B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 w:line="360" w:lineRule="exact"/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  <w:t>C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 w:line="360" w:lineRule="exact"/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napToGrid w:val="0"/>
                <w:kern w:val="0"/>
                <w:sz w:val="21"/>
                <w:szCs w:val="21"/>
              </w:rPr>
              <w:t>D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3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识记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领会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简单应用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综合应用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60" w:lineRule="exact"/>
              <w:rPr>
                <w:rFonts w:hint="eastAsia" w:ascii="仿宋" w:hAnsi="仿宋" w:eastAsia="仿宋"/>
                <w:b/>
                <w:bCs/>
                <w:snapToGrid w:val="0"/>
                <w:kern w:val="0"/>
                <w:szCs w:val="21"/>
                <w:u w:val="single"/>
              </w:rPr>
            </w:pPr>
          </w:p>
        </w:tc>
      </w:tr>
    </w:tbl>
    <w:p>
      <w:pPr>
        <w:adjustRightInd w:val="0"/>
        <w:spacing w:line="420" w:lineRule="atLeast"/>
        <w:jc w:val="center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24"/>
        </w:rPr>
        <w:br w:type="page"/>
      </w: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</w:rPr>
        <w:t>考 试 题 目 类 型 安 排</w:t>
      </w:r>
    </w:p>
    <w:tbl>
      <w:tblPr>
        <w:tblStyle w:val="3"/>
        <w:tblW w:w="84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18"/>
        <w:gridCol w:w="900"/>
        <w:gridCol w:w="900"/>
        <w:gridCol w:w="1260"/>
        <w:gridCol w:w="1313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题号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题   型</w:t>
            </w: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水平（填上分值）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识记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领会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简单应用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综合应用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一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二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三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四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五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六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七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八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九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  <w:t>十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说明：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1、各能力层次的含义是：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识记：能知道有关的名词、概念、原理的意义，并能正确认知和表达。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领会：在识记的基础上，能全面掌握基本概念、基本原理、基本知识、基本方法，能掌握有关概念、原理、知识、方法的区别与联系。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简单应用：在领会的基础上，能用学过的基本概念、基本原理、基本方法的一两个知识点分析和解决简单的问题。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综合应用：在简单应用的基础上，能用学过的多个知识点，综合分析和解决比较复杂的问题。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2、不同能力层次要求的分数比例一般为：识记占20%，领会占30%，简单应用占30%，综合应用占20%。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3、试题要合理安排难易度结构，</w:t>
      </w: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原则上课程考试平均分控制在74—82分之间、标准差控制在9-12之间较为合理。</w:t>
      </w:r>
    </w:p>
    <w:p>
      <w:pPr>
        <w:adjustRightInd w:val="0"/>
        <w:spacing w:line="420" w:lineRule="exact"/>
        <w:ind w:firstLine="560" w:firstLineChars="200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4、考试试卷采用的题型一般不少于五种。</w:t>
      </w:r>
    </w:p>
    <w:p>
      <w:pPr>
        <w:adjustRightInd w:val="0"/>
        <w:spacing w:line="420" w:lineRule="exact"/>
        <w:ind w:firstLine="560" w:firstLineChars="200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5、此表主要适用于理论性课程考试。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72226445"/>
    <w:rsid w:val="722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2022-05-18T03:25:00Z</dcterms:created>
  <dc:creator>Stellar</dc:creator>
  <cp:lastModifiedBy>Stellar</cp:lastModifiedBy>
  <dcterms:modified xsi:type="dcterms:W3CDTF">2022-05-18T03:25:24Z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A6102D2FB1C04B99BE3F7D3B55BFD26D</vt:lpwstr>
  </property>
</Properties>
</file>