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课程考试计划调整申请表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/>
        <w:jc w:val="right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 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  <w:lang w:eastAsia="zh-CN"/>
        </w:rPr>
        <w:t>—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23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4"/>
        </w:rPr>
        <w:t>）学期</w:t>
      </w:r>
    </w:p>
    <w:tbl>
      <w:tblPr>
        <w:tblStyle w:val="3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19"/>
        <w:gridCol w:w="2282"/>
        <w:gridCol w:w="168"/>
        <w:gridCol w:w="1278"/>
        <w:gridCol w:w="894"/>
        <w:gridCol w:w="1080"/>
        <w:gridCol w:w="587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开课单位</w:t>
            </w:r>
          </w:p>
        </w:tc>
        <w:tc>
          <w:tcPr>
            <w:tcW w:w="22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2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修读性质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原考核方式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拟考核方式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教学起止周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  周  至  第     周（周      第            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拟调整考试时间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  周          节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考试地点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1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652" w:firstLineChars="2355"/>
              <w:jc w:val="righ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441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专业负责人</w:t>
            </w:r>
            <w:r>
              <w:rPr>
                <w:rFonts w:hint="eastAsia" w:ascii="宋体" w:hAnsi="宋体"/>
              </w:rPr>
              <w:t xml:space="preserve">意见：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0" w:firstLineChars="10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0" w:firstLineChars="10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-1" w:hanging="2" w:hangingChars="1"/>
              <w:jc w:val="righ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名:           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  <w:tc>
          <w:tcPr>
            <w:tcW w:w="4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院（系）意见：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560" w:firstLineChars="19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章:             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8827" w:type="dxa"/>
            <w:gridSpan w:val="9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教务处意见：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签 名:           年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827" w:type="dxa"/>
            <w:gridSpan w:val="9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 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hanging="630" w:hangingChars="3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注:1、后半学期结束的必修、限选等闭卷考试的课程原则上安排在考试周内执行，提前考试需填此表报批。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2、专业任选、公共选修、辅修、双专业、双学位及开卷考试等课程考试可安排在考试周前一周进行，无需报批。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hanging="630" w:hangingChars="3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3、调整课程考试时间必须提前二周申报。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4、调整课程考试计划申报表由院（系）集中送教务处审批，不接受教师个人申报。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7BF4768F"/>
    <w:rsid w:val="075F108A"/>
    <w:rsid w:val="51DA4B04"/>
    <w:rsid w:val="7BF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2022-05-18T03:24:00Z</dcterms:created>
  <dc:creator>Stellar</dc:creator>
  <cp:lastModifiedBy>Stellar</cp:lastModifiedBy>
  <dcterms:modified xsi:type="dcterms:W3CDTF">2023-04-26T07:59:27Z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8C9F717F566F40A8B0F842D8827EE125</vt:lpwstr>
  </property>
</Properties>
</file>