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9B" w:rsidRDefault="00FD319B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转专业相关注意事项告知书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一、确认</w:t>
      </w:r>
      <w:r w:rsidR="001D697B">
        <w:rPr>
          <w:rFonts w:ascii="仿宋_GB2312" w:eastAsia="仿宋_GB2312" w:hAnsi="仿宋" w:hint="eastAsia"/>
          <w:sz w:val="24"/>
        </w:rPr>
        <w:t>本人</w:t>
      </w:r>
      <w:r>
        <w:rPr>
          <w:rFonts w:ascii="仿宋_GB2312" w:eastAsia="仿宋_GB2312" w:hAnsi="仿宋" w:hint="eastAsia"/>
          <w:sz w:val="24"/>
        </w:rPr>
        <w:t>符合《华南师范大学全日制普通本科学生学籍管理规定》（华师</w:t>
      </w:r>
      <w:r>
        <w:rPr>
          <w:rFonts w:ascii="仿宋_GB2312" w:eastAsia="仿宋_GB2312" w:hAnsi="仿宋_GB2312" w:cs="仿宋_GB2312" w:hint="eastAsia"/>
          <w:spacing w:val="-20"/>
          <w:sz w:val="24"/>
        </w:rPr>
        <w:t>〔2025〕92号</w:t>
      </w:r>
      <w:r>
        <w:rPr>
          <w:rFonts w:ascii="仿宋_GB2312" w:eastAsia="仿宋_GB2312" w:hAnsi="仿宋" w:hint="eastAsia"/>
          <w:sz w:val="24"/>
        </w:rPr>
        <w:t>）规定的转专业基本条件，</w:t>
      </w:r>
      <w:r>
        <w:rPr>
          <w:rFonts w:ascii="仿宋_GB2312" w:eastAsia="仿宋_GB2312" w:hAnsi="仿宋" w:hint="eastAsia"/>
          <w:sz w:val="24"/>
          <w:u w:val="single"/>
        </w:rPr>
        <w:t>不存在</w:t>
      </w:r>
      <w:r w:rsidR="001D697B">
        <w:rPr>
          <w:rFonts w:ascii="仿宋_GB2312" w:eastAsia="仿宋_GB2312" w:hAnsi="仿宋" w:hint="eastAsia"/>
          <w:sz w:val="24"/>
          <w:u w:val="single"/>
        </w:rPr>
        <w:t>不得申请转专业</w:t>
      </w:r>
      <w:r>
        <w:rPr>
          <w:rFonts w:ascii="仿宋_GB2312" w:eastAsia="仿宋_GB2312" w:hAnsi="仿宋" w:hint="eastAsia"/>
          <w:sz w:val="24"/>
          <w:u w:val="single"/>
        </w:rPr>
        <w:t>的情形</w:t>
      </w:r>
      <w:r w:rsidR="00B603DD">
        <w:rPr>
          <w:rFonts w:ascii="仿宋_GB2312" w:eastAsia="仿宋_GB2312" w:hAnsi="仿宋" w:hint="eastAsia"/>
          <w:sz w:val="24"/>
          <w:u w:val="single"/>
        </w:rPr>
        <w:t>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二、确认符合转入专业的申请条件，提交的申请资料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真实、有效</w:t>
      </w:r>
      <w:r>
        <w:rPr>
          <w:rFonts w:ascii="仿宋_GB2312" w:eastAsia="仿宋_GB2312" w:hAnsi="仿宋" w:hint="eastAsia"/>
          <w:sz w:val="24"/>
        </w:rPr>
        <w:t>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三、</w:t>
      </w:r>
      <w:r w:rsidR="008A469F">
        <w:rPr>
          <w:rFonts w:ascii="仿宋_GB2312" w:eastAsia="仿宋_GB2312" w:hAnsi="仿宋" w:hint="eastAsia"/>
          <w:sz w:val="24"/>
        </w:rPr>
        <w:t>本人</w:t>
      </w:r>
      <w:r>
        <w:rPr>
          <w:rFonts w:ascii="仿宋_GB2312" w:eastAsia="仿宋_GB2312" w:hAnsi="仿宋" w:hint="eastAsia"/>
          <w:sz w:val="24"/>
        </w:rPr>
        <w:t>将主动了解转入学院的相关工作安排，按时提交申请资料、参加考核，并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诚信应考</w:t>
      </w:r>
      <w:r>
        <w:rPr>
          <w:rFonts w:ascii="仿宋_GB2312" w:eastAsia="仿宋_GB2312" w:hAnsi="仿宋" w:hint="eastAsia"/>
          <w:sz w:val="24"/>
        </w:rPr>
        <w:t>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四、已了解转专业</w:t>
      </w:r>
      <w:r>
        <w:rPr>
          <w:rFonts w:ascii="仿宋_GB2312" w:eastAsia="仿宋_GB2312" w:hAnsi="仿宋" w:hint="eastAsia"/>
          <w:sz w:val="24"/>
          <w:u w:val="single"/>
        </w:rPr>
        <w:t>基本程序</w:t>
      </w:r>
      <w:r>
        <w:rPr>
          <w:rFonts w:ascii="仿宋_GB2312" w:eastAsia="仿宋_GB2312" w:hAnsi="仿宋" w:hint="eastAsia"/>
          <w:sz w:val="24"/>
        </w:rPr>
        <w:t>：系统报名（</w:t>
      </w:r>
      <w:r w:rsidR="001D697B" w:rsidRPr="001D697B">
        <w:rPr>
          <w:rFonts w:ascii="仿宋_GB2312" w:eastAsia="仿宋_GB2312" w:hAnsi="仿宋" w:hint="eastAsia"/>
          <w:sz w:val="24"/>
        </w:rPr>
        <w:t>如修改申请信息须重新提交</w:t>
      </w:r>
      <w:r>
        <w:rPr>
          <w:rFonts w:ascii="仿宋_GB2312" w:eastAsia="仿宋_GB2312" w:hAnsi="仿宋" w:hint="eastAsia"/>
          <w:sz w:val="24"/>
        </w:rPr>
        <w:t>）—学院审核并公布通过资格审核的名单，公布考核时间、地点等—</w:t>
      </w:r>
      <w:r w:rsidR="00626654">
        <w:rPr>
          <w:rFonts w:ascii="仿宋_GB2312" w:eastAsia="仿宋_GB2312" w:hAnsi="仿宋" w:hint="eastAsia"/>
          <w:sz w:val="24"/>
        </w:rPr>
        <w:t>学生</w:t>
      </w:r>
      <w:r w:rsidR="007A5043">
        <w:rPr>
          <w:rFonts w:ascii="仿宋_GB2312" w:eastAsia="仿宋_GB2312" w:hAnsi="仿宋" w:hint="eastAsia"/>
          <w:sz w:val="24"/>
        </w:rPr>
        <w:t>参加学院</w:t>
      </w:r>
      <w:r>
        <w:rPr>
          <w:rFonts w:ascii="仿宋_GB2312" w:eastAsia="仿宋_GB2312" w:hAnsi="仿宋" w:hint="eastAsia"/>
          <w:sz w:val="24"/>
        </w:rPr>
        <w:t>组织</w:t>
      </w:r>
      <w:r w:rsidR="007A5043">
        <w:rPr>
          <w:rFonts w:ascii="仿宋_GB2312" w:eastAsia="仿宋_GB2312" w:hAnsi="仿宋" w:hint="eastAsia"/>
          <w:sz w:val="24"/>
        </w:rPr>
        <w:t>的</w:t>
      </w:r>
      <w:r>
        <w:rPr>
          <w:rFonts w:ascii="仿宋_GB2312" w:eastAsia="仿宋_GB2312" w:hAnsi="仿宋" w:hint="eastAsia"/>
          <w:sz w:val="24"/>
        </w:rPr>
        <w:t>考核—学院公布考核成绩，上报名单—</w:t>
      </w:r>
      <w:r w:rsidR="00B603DD">
        <w:rPr>
          <w:rFonts w:ascii="仿宋_GB2312" w:eastAsia="仿宋_GB2312" w:hAnsi="仿宋" w:hint="eastAsia"/>
          <w:sz w:val="24"/>
        </w:rPr>
        <w:t>本科生院</w:t>
      </w:r>
      <w:r>
        <w:rPr>
          <w:rFonts w:ascii="仿宋_GB2312" w:eastAsia="仿宋_GB2312" w:hAnsi="仿宋" w:hint="eastAsia"/>
          <w:sz w:val="24"/>
        </w:rPr>
        <w:t>公示通过审核名单，组织第二轮转专业（程序与第一轮同）—学期末公布获批转专业学生名单—</w:t>
      </w:r>
      <w:r w:rsidR="00E85D5C">
        <w:rPr>
          <w:rFonts w:ascii="仿宋_GB2312" w:eastAsia="仿宋_GB2312" w:hAnsi="仿宋" w:hint="eastAsia"/>
          <w:sz w:val="24"/>
        </w:rPr>
        <w:t>学生在</w:t>
      </w:r>
      <w:r>
        <w:rPr>
          <w:rFonts w:ascii="仿宋_GB2312" w:eastAsia="仿宋_GB2312" w:hAnsi="仿宋" w:hint="eastAsia"/>
          <w:b/>
          <w:bCs/>
          <w:i/>
          <w:iCs/>
          <w:sz w:val="24"/>
          <w:u w:val="single"/>
        </w:rPr>
        <w:t>秋季学期到新专业报到</w:t>
      </w:r>
      <w:r>
        <w:rPr>
          <w:rFonts w:ascii="仿宋_GB2312" w:eastAsia="仿宋_GB2312" w:hAnsi="仿宋" w:hint="eastAsia"/>
          <w:sz w:val="24"/>
        </w:rPr>
        <w:t>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五、</w:t>
      </w:r>
      <w:r w:rsidR="0010538C" w:rsidRPr="008811C5">
        <w:rPr>
          <w:rFonts w:ascii="仿宋_GB2312" w:eastAsia="仿宋_GB2312" w:hAnsi="仿宋"/>
          <w:sz w:val="24"/>
        </w:rPr>
        <w:t>已充分了解并考虑是否接受降级修读安排</w:t>
      </w:r>
      <w:r>
        <w:rPr>
          <w:rFonts w:ascii="仿宋_GB2312" w:eastAsia="仿宋_GB2312" w:hAnsi="仿宋" w:hint="eastAsia"/>
          <w:sz w:val="24"/>
        </w:rPr>
        <w:t>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六、已了解转专业名单经公示后，通过审核的学生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不得放弃转专业资格。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七、已了解在转专业过程中发现弄虚作假、徇私舞弊等情形的，取消当年转专业资格。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八、已了解转专业获批后，</w:t>
      </w:r>
      <w:r w:rsidR="008811C5">
        <w:rPr>
          <w:rFonts w:ascii="仿宋_GB2312" w:eastAsia="仿宋_GB2312" w:hAnsi="仿宋" w:hint="eastAsia"/>
          <w:b/>
          <w:bCs/>
          <w:sz w:val="24"/>
          <w:u w:val="single"/>
        </w:rPr>
        <w:t>春季学期必须在原专业完成学业，</w:t>
      </w:r>
      <w:r>
        <w:rPr>
          <w:rFonts w:ascii="仿宋_GB2312" w:eastAsia="仿宋_GB2312" w:hAnsi="仿宋" w:hint="eastAsia"/>
          <w:sz w:val="24"/>
        </w:rPr>
        <w:t>在秋季学期转入新专业就读</w:t>
      </w:r>
      <w:r w:rsidR="008811C5">
        <w:rPr>
          <w:rFonts w:ascii="仿宋_GB2312" w:eastAsia="仿宋_GB2312" w:hAnsi="仿宋" w:hint="eastAsia"/>
          <w:sz w:val="24"/>
        </w:rPr>
        <w:t>。</w:t>
      </w:r>
      <w:r w:rsidR="008811C5">
        <w:rPr>
          <w:rFonts w:ascii="仿宋_GB2312" w:eastAsia="仿宋_GB2312" w:hAnsi="仿宋"/>
          <w:sz w:val="24"/>
        </w:rPr>
        <w:t xml:space="preserve"> 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九、请了解本学期选课的相关说明：获批转专业的学生，根据个人情况自行决定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本学期第一、二轮选课是否及如何选课</w:t>
      </w:r>
      <w:r>
        <w:rPr>
          <w:rFonts w:ascii="仿宋_GB2312" w:eastAsia="仿宋_GB2312" w:hAnsi="仿宋" w:hint="eastAsia"/>
          <w:sz w:val="24"/>
        </w:rPr>
        <w:t>，转入新专业后，必须在转入学院指导下完成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第三轮选课</w:t>
      </w:r>
      <w:r>
        <w:rPr>
          <w:rFonts w:ascii="仿宋_GB2312" w:eastAsia="仿宋_GB2312" w:hAnsi="仿宋" w:hint="eastAsia"/>
          <w:sz w:val="24"/>
        </w:rPr>
        <w:t>，确定下学期需要修读的课程。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十、请了解关于成绩及课程认定的相关要求：</w:t>
      </w:r>
    </w:p>
    <w:p w:rsidR="00FD319B" w:rsidRDefault="00FD319B">
      <w:pPr>
        <w:rPr>
          <w:rFonts w:ascii="仿宋_GB2312" w:eastAsia="仿宋_GB2312" w:hAnsi="仿宋"/>
          <w:sz w:val="24"/>
        </w:rPr>
      </w:pPr>
      <w:bookmarkStart w:id="0" w:name="OLE_LINK4"/>
      <w:r>
        <w:rPr>
          <w:rFonts w:ascii="仿宋_GB2312" w:eastAsia="仿宋_GB2312" w:hAnsi="仿宋" w:hint="eastAsia"/>
          <w:sz w:val="24"/>
        </w:rPr>
        <w:t>（一）转专业后，</w:t>
      </w:r>
      <w:r>
        <w:rPr>
          <w:rFonts w:ascii="仿宋_GB2312" w:eastAsia="仿宋_GB2312" w:hAnsi="仿宋" w:hint="eastAsia"/>
          <w:b/>
          <w:bCs/>
          <w:sz w:val="24"/>
          <w:u w:val="single"/>
        </w:rPr>
        <w:t>不得删除</w:t>
      </w:r>
      <w:r>
        <w:rPr>
          <w:rFonts w:ascii="仿宋_GB2312" w:eastAsia="仿宋_GB2312" w:hAnsi="仿宋" w:hint="eastAsia"/>
          <w:sz w:val="24"/>
        </w:rPr>
        <w:t>在原专业修读的课程</w:t>
      </w:r>
      <w:r>
        <w:rPr>
          <w:rFonts w:ascii="仿宋_GB2312" w:eastAsia="仿宋_GB2312" w:hAnsi="仿宋" w:hint="eastAsia"/>
          <w:b/>
          <w:bCs/>
          <w:sz w:val="24"/>
        </w:rPr>
        <w:t>成绩</w:t>
      </w:r>
      <w:r>
        <w:rPr>
          <w:rFonts w:ascii="仿宋_GB2312" w:eastAsia="仿宋_GB2312" w:hAnsi="仿宋" w:hint="eastAsia"/>
          <w:sz w:val="24"/>
        </w:rPr>
        <w:t>，所有课程成绩根据</w:t>
      </w:r>
      <w:r>
        <w:rPr>
          <w:rFonts w:ascii="仿宋_GB2312" w:eastAsia="仿宋_GB2312" w:hAnsi="仿宋" w:hint="eastAsia"/>
          <w:sz w:val="24"/>
          <w:lang w:bidi="ar"/>
        </w:rPr>
        <w:t>《华南师范大学全日制普通本科学生课程考核与成绩管理办法》（华师</w:t>
      </w:r>
      <w:r>
        <w:rPr>
          <w:rFonts w:ascii="仿宋_GB2312" w:eastAsia="仿宋_GB2312" w:hAnsi="仿宋" w:hint="eastAsia"/>
          <w:sz w:val="24"/>
        </w:rPr>
        <w:t>〔202</w:t>
      </w:r>
      <w:r>
        <w:rPr>
          <w:rFonts w:ascii="仿宋_GB2312" w:eastAsia="仿宋_GB2312" w:hAnsi="仿宋"/>
          <w:sz w:val="24"/>
        </w:rPr>
        <w:t>6</w:t>
      </w:r>
      <w:r>
        <w:rPr>
          <w:rFonts w:ascii="仿宋_GB2312" w:eastAsia="仿宋_GB2312" w:hAnsi="仿宋" w:hint="eastAsia"/>
          <w:sz w:val="24"/>
        </w:rPr>
        <w:t>〕</w:t>
      </w:r>
      <w:r>
        <w:rPr>
          <w:rFonts w:ascii="仿宋_GB2312" w:eastAsia="仿宋_GB2312" w:hAnsi="仿宋" w:hint="eastAsia"/>
          <w:sz w:val="24"/>
          <w:lang w:bidi="ar"/>
        </w:rPr>
        <w:t>7号）有关要求</w:t>
      </w:r>
      <w:r>
        <w:rPr>
          <w:rFonts w:ascii="仿宋_GB2312" w:eastAsia="仿宋_GB2312" w:hAnsi="仿宋" w:hint="eastAsia"/>
          <w:sz w:val="24"/>
        </w:rPr>
        <w:t>列入成绩单、进行平均学分绩点统计。</w:t>
      </w:r>
    </w:p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（二）关于</w:t>
      </w:r>
      <w:r>
        <w:rPr>
          <w:rFonts w:ascii="仿宋_GB2312" w:eastAsia="仿宋_GB2312" w:hAnsi="仿宋" w:hint="eastAsia"/>
          <w:b/>
          <w:bCs/>
          <w:sz w:val="24"/>
        </w:rPr>
        <w:t>课程认定</w:t>
      </w:r>
      <w:r>
        <w:rPr>
          <w:rFonts w:ascii="仿宋_GB2312" w:eastAsia="仿宋_GB2312" w:hAnsi="仿宋" w:hint="eastAsia"/>
          <w:sz w:val="24"/>
        </w:rPr>
        <w:t>原则：1.</w:t>
      </w:r>
      <w:r w:rsidR="009F27A2" w:rsidRPr="009F27A2">
        <w:rPr>
          <w:rFonts w:hint="eastAsia"/>
        </w:rPr>
        <w:t xml:space="preserve"> </w:t>
      </w:r>
      <w:r w:rsidR="009F27A2" w:rsidRPr="009F27A2">
        <w:rPr>
          <w:rFonts w:ascii="仿宋_GB2312" w:eastAsia="仿宋_GB2312" w:hAnsi="仿宋" w:hint="eastAsia"/>
          <w:sz w:val="24"/>
        </w:rPr>
        <w:t>课程认定以课程内容相同或相近为基本</w:t>
      </w:r>
      <w:r w:rsidR="00AE0881">
        <w:rPr>
          <w:rFonts w:ascii="仿宋_GB2312" w:eastAsia="仿宋_GB2312" w:hAnsi="仿宋" w:hint="eastAsia"/>
          <w:sz w:val="24"/>
        </w:rPr>
        <w:t>原则</w:t>
      </w:r>
      <w:r>
        <w:rPr>
          <w:rFonts w:ascii="仿宋_GB2312" w:eastAsia="仿宋_GB2312" w:hAnsi="仿宋" w:hint="eastAsia"/>
          <w:sz w:val="24"/>
        </w:rPr>
        <w:t>。2.</w:t>
      </w:r>
      <w:r w:rsidR="009F27A2" w:rsidRPr="009F27A2">
        <w:rPr>
          <w:rFonts w:hint="eastAsia"/>
        </w:rPr>
        <w:t xml:space="preserve"> </w:t>
      </w:r>
      <w:r w:rsidR="009F27A2" w:rsidRPr="009F27A2">
        <w:rPr>
          <w:rFonts w:ascii="仿宋_GB2312" w:eastAsia="仿宋_GB2312" w:hAnsi="仿宋" w:hint="eastAsia"/>
          <w:sz w:val="24"/>
        </w:rPr>
        <w:t>原专业已修课程是否认定为转入专业相应课程，由学院学术分委员会研究认定。</w:t>
      </w:r>
      <w:r>
        <w:rPr>
          <w:rFonts w:ascii="仿宋_GB2312" w:eastAsia="仿宋_GB2312" w:hAnsi="仿宋" w:hint="eastAsia"/>
          <w:sz w:val="24"/>
        </w:rPr>
        <w:t>3.</w:t>
      </w:r>
      <w:r w:rsidR="00AE0881" w:rsidRPr="00AE0881">
        <w:rPr>
          <w:rFonts w:hint="eastAsia"/>
        </w:rPr>
        <w:t xml:space="preserve"> </w:t>
      </w:r>
      <w:r w:rsidR="00AE0881" w:rsidRPr="00AE0881">
        <w:rPr>
          <w:rFonts w:ascii="仿宋_GB2312" w:eastAsia="仿宋_GB2312" w:hAnsi="仿宋" w:hint="eastAsia"/>
          <w:sz w:val="24"/>
        </w:rPr>
        <w:t>一门课程原则上只能认定对应一门课程</w:t>
      </w:r>
      <w:r>
        <w:rPr>
          <w:rFonts w:ascii="仿宋_GB2312" w:eastAsia="仿宋_GB2312" w:hAnsi="仿宋" w:hint="eastAsia"/>
          <w:sz w:val="24"/>
        </w:rPr>
        <w:t>，不得拆分或合并。4.低学分课程不得认定为高学分课程。5.</w:t>
      </w:r>
      <w:r w:rsidR="00AE0881" w:rsidRPr="00AE0881">
        <w:rPr>
          <w:rFonts w:hint="eastAsia"/>
        </w:rPr>
        <w:t xml:space="preserve"> </w:t>
      </w:r>
      <w:r w:rsidR="00AE0881" w:rsidRPr="00AE0881">
        <w:rPr>
          <w:rFonts w:ascii="仿宋_GB2312" w:eastAsia="仿宋_GB2312" w:hAnsi="仿宋" w:hint="eastAsia"/>
          <w:sz w:val="24"/>
        </w:rPr>
        <w:t>课程认定后，成绩保持不变，学分按认定后课程学分计算</w:t>
      </w:r>
      <w:r>
        <w:rPr>
          <w:rFonts w:ascii="仿宋_GB2312" w:eastAsia="仿宋_GB2312" w:hAnsi="仿宋" w:hint="eastAsia"/>
          <w:sz w:val="24"/>
        </w:rPr>
        <w:t>。6.特殊情况必须由学院学术分委员会</w:t>
      </w:r>
      <w:r w:rsidR="00AE0881">
        <w:rPr>
          <w:rFonts w:ascii="仿宋_GB2312" w:eastAsia="仿宋_GB2312" w:hAnsi="仿宋" w:hint="eastAsia"/>
          <w:sz w:val="24"/>
        </w:rPr>
        <w:t>提</w:t>
      </w:r>
      <w:r>
        <w:rPr>
          <w:rFonts w:ascii="仿宋_GB2312" w:eastAsia="仿宋_GB2312" w:hAnsi="仿宋" w:hint="eastAsia"/>
          <w:sz w:val="24"/>
        </w:rPr>
        <w:t>交书面报告，说明认定理由和依据。</w:t>
      </w:r>
    </w:p>
    <w:bookmarkEnd w:id="0"/>
    <w:p w:rsidR="00FD319B" w:rsidRDefault="00FD319B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（三）必须遵照转入专业及年级</w:t>
      </w:r>
      <w:r>
        <w:rPr>
          <w:rFonts w:ascii="仿宋_GB2312" w:eastAsia="仿宋_GB2312" w:hAnsi="仿宋" w:hint="eastAsia"/>
          <w:b/>
          <w:bCs/>
          <w:sz w:val="24"/>
        </w:rPr>
        <w:t>培养方案</w:t>
      </w:r>
      <w:r>
        <w:rPr>
          <w:rFonts w:ascii="仿宋_GB2312" w:eastAsia="仿宋_GB2312" w:hAnsi="仿宋" w:hint="eastAsia"/>
          <w:sz w:val="24"/>
        </w:rPr>
        <w:t>要求的学分和课程完成学业，方可获得毕业资格。</w:t>
      </w:r>
    </w:p>
    <w:p w:rsidR="008811C5" w:rsidRDefault="008811C5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十一、已了解2</w:t>
      </w:r>
      <w:r>
        <w:rPr>
          <w:rFonts w:ascii="仿宋_GB2312" w:eastAsia="仿宋_GB2312" w:hAnsi="仿宋"/>
          <w:sz w:val="24"/>
        </w:rPr>
        <w:t>027</w:t>
      </w:r>
      <w:r>
        <w:rPr>
          <w:rFonts w:ascii="仿宋_GB2312" w:eastAsia="仿宋_GB2312" w:hAnsi="仿宋" w:hint="eastAsia"/>
          <w:sz w:val="24"/>
        </w:rPr>
        <w:t>年</w:t>
      </w:r>
      <w:r w:rsidR="00B603DD">
        <w:rPr>
          <w:rFonts w:ascii="仿宋_GB2312" w:eastAsia="仿宋_GB2312" w:hAnsi="仿宋" w:hint="eastAsia"/>
          <w:sz w:val="24"/>
        </w:rPr>
        <w:t>起全日制本科学生转专业工作不再组织第二轮报名及考核。</w:t>
      </w:r>
    </w:p>
    <w:p w:rsidR="00FD319B" w:rsidRDefault="00FD319B">
      <w:pPr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>请用正楷抄写以下内容并由本人签名确认：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本人已</w:t>
      </w:r>
      <w:r w:rsidR="00A44EFE">
        <w:rPr>
          <w:rFonts w:ascii="仿宋_GB2312" w:eastAsia="仿宋_GB2312" w:hAnsi="仿宋" w:hint="eastAsia"/>
          <w:b/>
          <w:bCs/>
          <w:sz w:val="28"/>
          <w:szCs w:val="28"/>
        </w:rPr>
        <w:t>认真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阅读并知悉上述第一至第十条转专业相关要求或注意事项，确定</w:t>
      </w:r>
      <w:bookmarkStart w:id="1" w:name="_GoBack"/>
      <w:bookmarkEnd w:id="1"/>
      <w:r>
        <w:rPr>
          <w:rFonts w:ascii="仿宋_GB2312" w:eastAsia="仿宋_GB2312" w:hAnsi="仿宋" w:hint="eastAsia"/>
          <w:b/>
          <w:bCs/>
          <w:sz w:val="28"/>
          <w:szCs w:val="28"/>
        </w:rPr>
        <w:t>申请转入***学院***专业。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                                                      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                                                      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                                                      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                                                                </w:t>
      </w:r>
    </w:p>
    <w:p w:rsidR="00FD319B" w:rsidRDefault="00FD319B">
      <w:pPr>
        <w:ind w:firstLine="480"/>
        <w:rPr>
          <w:rFonts w:ascii="仿宋_GB2312" w:eastAsia="仿宋_GB2312" w:hAnsi="仿宋"/>
          <w:b/>
          <w:bCs/>
          <w:sz w:val="28"/>
          <w:szCs w:val="28"/>
          <w:u w:val="single"/>
        </w:rPr>
      </w:pPr>
      <w:r>
        <w:rPr>
          <w:rFonts w:ascii="仿宋_GB2312" w:eastAsia="仿宋_GB2312" w:hAnsi="仿宋" w:hint="eastAsia"/>
          <w:b/>
          <w:bCs/>
          <w:sz w:val="28"/>
          <w:szCs w:val="28"/>
          <w:u w:val="single"/>
        </w:rPr>
        <w:t xml:space="preserve">本人签名：                             日期：                   </w:t>
      </w:r>
    </w:p>
    <w:sectPr w:rsidR="00FD319B"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2B" w:rsidRDefault="00F6052B" w:rsidP="009F27A2">
      <w:r>
        <w:separator/>
      </w:r>
    </w:p>
  </w:endnote>
  <w:endnote w:type="continuationSeparator" w:id="0">
    <w:p w:rsidR="00F6052B" w:rsidRDefault="00F6052B" w:rsidP="009F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2B" w:rsidRDefault="00F6052B" w:rsidP="009F27A2">
      <w:r>
        <w:separator/>
      </w:r>
    </w:p>
  </w:footnote>
  <w:footnote w:type="continuationSeparator" w:id="0">
    <w:p w:rsidR="00F6052B" w:rsidRDefault="00F6052B" w:rsidP="009F2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Y2NmYzU5NWQ0ODQ3NWMxMjhmZTBjNzcwODcwOTEifQ=="/>
  </w:docVars>
  <w:rsids>
    <w:rsidRoot w:val="00B40E37"/>
    <w:rsid w:val="000D432D"/>
    <w:rsid w:val="0010538C"/>
    <w:rsid w:val="0010790D"/>
    <w:rsid w:val="001D697B"/>
    <w:rsid w:val="0026784D"/>
    <w:rsid w:val="00270248"/>
    <w:rsid w:val="003902F6"/>
    <w:rsid w:val="0048253D"/>
    <w:rsid w:val="00485A2C"/>
    <w:rsid w:val="004A5EA2"/>
    <w:rsid w:val="004C7F02"/>
    <w:rsid w:val="004D31F1"/>
    <w:rsid w:val="006112AC"/>
    <w:rsid w:val="00626654"/>
    <w:rsid w:val="006763B6"/>
    <w:rsid w:val="007A5043"/>
    <w:rsid w:val="007D71A1"/>
    <w:rsid w:val="008130E7"/>
    <w:rsid w:val="008727EF"/>
    <w:rsid w:val="008811C5"/>
    <w:rsid w:val="008A469F"/>
    <w:rsid w:val="009F27A2"/>
    <w:rsid w:val="00A44EFE"/>
    <w:rsid w:val="00A67FF3"/>
    <w:rsid w:val="00A84076"/>
    <w:rsid w:val="00AE0881"/>
    <w:rsid w:val="00AE0B34"/>
    <w:rsid w:val="00B40E37"/>
    <w:rsid w:val="00B603DD"/>
    <w:rsid w:val="00B75FFC"/>
    <w:rsid w:val="00BE65F3"/>
    <w:rsid w:val="00BF6085"/>
    <w:rsid w:val="00E15459"/>
    <w:rsid w:val="00E83C93"/>
    <w:rsid w:val="00E85D5C"/>
    <w:rsid w:val="00F6052B"/>
    <w:rsid w:val="00FD319B"/>
    <w:rsid w:val="00FD6046"/>
    <w:rsid w:val="048F781D"/>
    <w:rsid w:val="0A4B08BF"/>
    <w:rsid w:val="0CC21D83"/>
    <w:rsid w:val="0DB6177D"/>
    <w:rsid w:val="108C1C7D"/>
    <w:rsid w:val="115F216C"/>
    <w:rsid w:val="125336E2"/>
    <w:rsid w:val="143D2C6A"/>
    <w:rsid w:val="14F450DE"/>
    <w:rsid w:val="170A5E48"/>
    <w:rsid w:val="1C942CE2"/>
    <w:rsid w:val="1ED3341B"/>
    <w:rsid w:val="1FA96FEC"/>
    <w:rsid w:val="221F0EFE"/>
    <w:rsid w:val="229B22C1"/>
    <w:rsid w:val="253E3935"/>
    <w:rsid w:val="25C30D8F"/>
    <w:rsid w:val="271D10D7"/>
    <w:rsid w:val="277207BF"/>
    <w:rsid w:val="27E932D5"/>
    <w:rsid w:val="299634AB"/>
    <w:rsid w:val="2B6F2172"/>
    <w:rsid w:val="2C51083A"/>
    <w:rsid w:val="2DCE129D"/>
    <w:rsid w:val="2F290078"/>
    <w:rsid w:val="30614DFE"/>
    <w:rsid w:val="31D34E91"/>
    <w:rsid w:val="35772D77"/>
    <w:rsid w:val="360435B7"/>
    <w:rsid w:val="367A5031"/>
    <w:rsid w:val="36E17785"/>
    <w:rsid w:val="38475B64"/>
    <w:rsid w:val="3A0C2E35"/>
    <w:rsid w:val="3A741B23"/>
    <w:rsid w:val="3B0C4842"/>
    <w:rsid w:val="3BF31746"/>
    <w:rsid w:val="3EDD628B"/>
    <w:rsid w:val="40904F1D"/>
    <w:rsid w:val="41BC2A37"/>
    <w:rsid w:val="45E12F8A"/>
    <w:rsid w:val="490D20DF"/>
    <w:rsid w:val="4B2B1F31"/>
    <w:rsid w:val="4D3D2662"/>
    <w:rsid w:val="503D7C91"/>
    <w:rsid w:val="50ED7BD7"/>
    <w:rsid w:val="514874E7"/>
    <w:rsid w:val="55A54387"/>
    <w:rsid w:val="595F5087"/>
    <w:rsid w:val="59602EE2"/>
    <w:rsid w:val="597476D1"/>
    <w:rsid w:val="5C19131C"/>
    <w:rsid w:val="5E896C4B"/>
    <w:rsid w:val="5EFD654F"/>
    <w:rsid w:val="61F15FB8"/>
    <w:rsid w:val="66CF33CC"/>
    <w:rsid w:val="69AF6D01"/>
    <w:rsid w:val="69D3138E"/>
    <w:rsid w:val="69E11E65"/>
    <w:rsid w:val="6B1877F4"/>
    <w:rsid w:val="6C2D5DFD"/>
    <w:rsid w:val="6C875DE7"/>
    <w:rsid w:val="6DCE4D8C"/>
    <w:rsid w:val="6F217A26"/>
    <w:rsid w:val="70552A05"/>
    <w:rsid w:val="75781B46"/>
    <w:rsid w:val="758E60CA"/>
    <w:rsid w:val="7BD0040F"/>
    <w:rsid w:val="7F07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3F525"/>
  <w15:chartTrackingRefBased/>
  <w15:docId w15:val="{F68AFAEC-96EF-484D-AE82-4150DC53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spacing w:before="163"/>
      <w:ind w:left="112"/>
    </w:pPr>
    <w:rPr>
      <w:rFonts w:ascii="仿宋_GB2312" w:eastAsia="仿宋_GB2312" w:hAnsi="仿宋_GB2312" w:hint="eastAsia"/>
      <w:sz w:val="24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paragraph" w:styleId="aa">
    <w:name w:val="Normal (Web)"/>
    <w:basedOn w:val="a"/>
    <w:uiPriority w:val="99"/>
    <w:rPr>
      <w:sz w:val="24"/>
    </w:rPr>
  </w:style>
  <w:style w:type="paragraph" w:styleId="ab">
    <w:name w:val="Title"/>
    <w:basedOn w:val="a"/>
    <w:qFormat/>
    <w:pPr>
      <w:spacing w:after="100"/>
      <w:jc w:val="left"/>
    </w:pPr>
    <w:rPr>
      <w:b/>
      <w:kern w:val="0"/>
      <w:sz w:val="14"/>
      <w:szCs w:val="14"/>
    </w:rPr>
  </w:style>
  <w:style w:type="character" w:styleId="ac">
    <w:name w:val="Strong"/>
    <w:qFormat/>
    <w:rPr>
      <w:b/>
      <w:i w:val="0"/>
    </w:rPr>
  </w:style>
  <w:style w:type="character" w:styleId="ad">
    <w:name w:val="FollowedHyperlink"/>
    <w:rPr>
      <w:color w:val="333333"/>
      <w:u w:val="none"/>
    </w:rPr>
  </w:style>
  <w:style w:type="character" w:styleId="ae">
    <w:name w:val="Emphasis"/>
    <w:qFormat/>
    <w:rPr>
      <w:i w:val="0"/>
    </w:rPr>
  </w:style>
  <w:style w:type="character" w:styleId="af">
    <w:name w:val="Hyperlink"/>
    <w:rPr>
      <w:color w:val="333333"/>
      <w:u w:val="none"/>
    </w:rPr>
  </w:style>
  <w:style w:type="character" w:styleId="HTML">
    <w:name w:val="HTML Cite"/>
    <w:rPr>
      <w:i w:val="0"/>
    </w:rPr>
  </w:style>
  <w:style w:type="character" w:customStyle="1" w:styleId="img">
    <w:name w:val="img"/>
  </w:style>
  <w:style w:type="character" w:customStyle="1" w:styleId="color4">
    <w:name w:val="color4"/>
    <w:rPr>
      <w:shd w:val="clear" w:color="auto" w:fill="EBC85E"/>
    </w:rPr>
  </w:style>
  <w:style w:type="character" w:customStyle="1" w:styleId="color6">
    <w:name w:val="color6"/>
    <w:rPr>
      <w:shd w:val="clear" w:color="auto" w:fill="58C9F3"/>
    </w:rPr>
  </w:style>
  <w:style w:type="character" w:customStyle="1" w:styleId="color8">
    <w:name w:val="color8"/>
    <w:rPr>
      <w:shd w:val="clear" w:color="auto" w:fill="E885C3"/>
    </w:rPr>
  </w:style>
  <w:style w:type="character" w:customStyle="1" w:styleId="pdf">
    <w:name w:val="pdf"/>
  </w:style>
  <w:style w:type="character" w:customStyle="1" w:styleId="xls">
    <w:name w:val="xls"/>
  </w:style>
  <w:style w:type="character" w:customStyle="1" w:styleId="color3">
    <w:name w:val="color3"/>
    <w:rPr>
      <w:shd w:val="clear" w:color="auto" w:fill="65CEA7"/>
    </w:rPr>
  </w:style>
  <w:style w:type="character" w:customStyle="1" w:styleId="txt">
    <w:name w:val="txt"/>
  </w:style>
  <w:style w:type="character" w:customStyle="1" w:styleId="color1">
    <w:name w:val="color1"/>
    <w:rPr>
      <w:shd w:val="clear" w:color="auto" w:fill="FC8675"/>
    </w:rPr>
  </w:style>
  <w:style w:type="character" w:customStyle="1" w:styleId="ppt">
    <w:name w:val="ppt"/>
  </w:style>
  <w:style w:type="character" w:customStyle="1" w:styleId="color5">
    <w:name w:val="color5"/>
    <w:rPr>
      <w:shd w:val="clear" w:color="auto" w:fill="8175C7"/>
    </w:rPr>
  </w:style>
  <w:style w:type="character" w:customStyle="1" w:styleId="doc">
    <w:name w:val="doc"/>
  </w:style>
  <w:style w:type="character" w:customStyle="1" w:styleId="color2">
    <w:name w:val="color2"/>
    <w:rPr>
      <w:shd w:val="clear" w:color="auto" w:fill="5AB6DF"/>
    </w:rPr>
  </w:style>
  <w:style w:type="character" w:customStyle="1" w:styleId="rar">
    <w:name w:val="rar"/>
  </w:style>
  <w:style w:type="character" w:customStyle="1" w:styleId="color7">
    <w:name w:val="color7"/>
    <w:rPr>
      <w:shd w:val="clear" w:color="auto" w:fill="34A8AA"/>
    </w:rPr>
  </w:style>
  <w:style w:type="character" w:customStyle="1" w:styleId="unknow">
    <w:name w:val="unkn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10</cp:revision>
  <cp:lastPrinted>2026-03-10T03:32:00Z</cp:lastPrinted>
  <dcterms:created xsi:type="dcterms:W3CDTF">2026-03-11T01:58:00Z</dcterms:created>
  <dcterms:modified xsi:type="dcterms:W3CDTF">2026-03-12T09:34:00Z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A0236091FECD4C42989D08FA707555EB</vt:lpwstr>
  </property>
  <property fmtid="{D5CDD505-2E9C-101B-9397-08002B2CF9AE}" pid="4" name="KSOTemplateDocerSaveRecord">
    <vt:lpwstr>eyJoZGlkIjoiOGY0OGRhYTViOTA1MWQ5YzY4MzY1ZTliMDE1YjMzY2IiLCJ1c2VySWQiOiIxNjgzODk0MTE3In0=</vt:lpwstr>
  </property>
</Properties>
</file>