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2CA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美术学院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  <w:t>2025年硕士研究生招生考试</w:t>
      </w:r>
    </w:p>
    <w:p w14:paraId="167C6D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  <w:t>艺术学专业美术历史与理论研究方向</w:t>
      </w:r>
    </w:p>
    <w:p w14:paraId="3BB419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  <w:t>初试科目调整的公告</w:t>
      </w:r>
    </w:p>
    <w:p w14:paraId="034BEB33"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</w:pPr>
    </w:p>
    <w:p w14:paraId="7377B02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45ECF5D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各位考生：</w:t>
      </w:r>
    </w:p>
    <w:p w14:paraId="7502402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56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提高研究生招生工作质量，结合学校实际情况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经论证、研究，我院决定对2025年硕士研究生招生考试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艺术学专业美术历史与理论研究方向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初试自命题科目设置予以调整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</w:rPr>
        <w:t>科目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lang w:val="en-US" w:eastAsia="zh-CN"/>
        </w:rPr>
        <w:t>三调整为“628艺术学概论”，科目四调整为“812美术史”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。调整情况详见下表：</w:t>
      </w:r>
    </w:p>
    <w:tbl>
      <w:tblPr>
        <w:tblStyle w:val="6"/>
        <w:tblW w:w="81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313"/>
        <w:gridCol w:w="2796"/>
        <w:gridCol w:w="3029"/>
      </w:tblGrid>
      <w:tr w14:paraId="24226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tblHeader/>
          <w:jc w:val="center"/>
        </w:trPr>
        <w:tc>
          <w:tcPr>
            <w:tcW w:w="2313" w:type="dxa"/>
            <w:tcBorders>
              <w:top w:val="single" w:color="auto" w:sz="12" w:space="0"/>
            </w:tcBorders>
            <w:vAlign w:val="center"/>
          </w:tcPr>
          <w:p w14:paraId="727350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专业代码及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名称</w:t>
            </w:r>
          </w:p>
        </w:tc>
        <w:tc>
          <w:tcPr>
            <w:tcW w:w="2796" w:type="dxa"/>
            <w:tcBorders>
              <w:top w:val="single" w:color="auto" w:sz="12" w:space="0"/>
            </w:tcBorders>
            <w:vAlign w:val="center"/>
          </w:tcPr>
          <w:p w14:paraId="13535F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2024年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初试科目</w:t>
            </w:r>
          </w:p>
        </w:tc>
        <w:tc>
          <w:tcPr>
            <w:tcW w:w="3029" w:type="dxa"/>
            <w:tcBorders>
              <w:top w:val="single" w:color="auto" w:sz="12" w:space="0"/>
            </w:tcBorders>
            <w:vAlign w:val="center"/>
          </w:tcPr>
          <w:p w14:paraId="76FD09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2025年初试</w:t>
            </w:r>
            <w:r>
              <w:rPr>
                <w:rFonts w:hint="eastAsia"/>
                <w:b/>
                <w:sz w:val="18"/>
                <w:szCs w:val="18"/>
              </w:rPr>
              <w:t>科目</w:t>
            </w:r>
          </w:p>
        </w:tc>
      </w:tr>
      <w:tr w14:paraId="755E6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  <w:jc w:val="center"/>
        </w:trPr>
        <w:tc>
          <w:tcPr>
            <w:tcW w:w="2313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1801929">
            <w:pPr>
              <w:jc w:val="left"/>
              <w:textAlignment w:val="top"/>
              <w:rPr>
                <w:rFonts w:hint="eastAsia"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艺术学(130100)</w:t>
            </w:r>
          </w:p>
          <w:p w14:paraId="32C2E4EC">
            <w:pPr>
              <w:jc w:val="left"/>
              <w:textAlignment w:val="top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(全日制学术型)</w:t>
            </w:r>
          </w:p>
        </w:tc>
        <w:tc>
          <w:tcPr>
            <w:tcW w:w="2796" w:type="dxa"/>
            <w:tcBorders>
              <w:bottom w:val="single" w:color="auto" w:sz="12" w:space="0"/>
            </w:tcBorders>
            <w:vAlign w:val="center"/>
          </w:tcPr>
          <w:p w14:paraId="2FAFBC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02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C429948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14:paraId="7D616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  <w:jc w:val="center"/>
        </w:trPr>
        <w:tc>
          <w:tcPr>
            <w:tcW w:w="2313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DCBED08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(01)美术历史与理论研究</w:t>
            </w:r>
          </w:p>
        </w:tc>
        <w:tc>
          <w:tcPr>
            <w:tcW w:w="2796" w:type="dxa"/>
            <w:tcBorders>
              <w:bottom w:val="single" w:color="auto" w:sz="12" w:space="0"/>
            </w:tcBorders>
            <w:vAlign w:val="center"/>
          </w:tcPr>
          <w:p w14:paraId="0FF55DC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①101|思想政治理论 </w:t>
            </w:r>
          </w:p>
          <w:p w14:paraId="089D3FB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②201|英语（一） 或 203|日语</w:t>
            </w:r>
          </w:p>
          <w:p w14:paraId="2B16DBFF">
            <w:pPr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③628|美术史 </w:t>
            </w:r>
          </w:p>
          <w:p w14:paraId="3074FB31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④812|美术概论</w:t>
            </w:r>
          </w:p>
        </w:tc>
        <w:tc>
          <w:tcPr>
            <w:tcW w:w="302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4DEA0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①101|思想政治理论 </w:t>
            </w:r>
          </w:p>
          <w:p w14:paraId="2C029E3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②201|英语（一） 或 203|日语</w:t>
            </w:r>
          </w:p>
          <w:p w14:paraId="24E2B9C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③628|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艺术学概论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 </w:t>
            </w:r>
          </w:p>
          <w:p w14:paraId="0448557F">
            <w:pPr>
              <w:jc w:val="left"/>
              <w:rPr>
                <w:rFonts w:hint="eastAsia" w:ascii="宋体" w:eastAsiaTheme="minorEastAsia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④812|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美术史</w:t>
            </w:r>
          </w:p>
        </w:tc>
      </w:tr>
    </w:tbl>
    <w:p w14:paraId="7FA077D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请参加我院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年硕士研究生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艺术学专业美术历史与理论研究方向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招生考试的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知悉初试自命题科目的调整情况。最终以《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华南师范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大学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年硕士研究生招生简章及专业目录》发布为准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。</w:t>
      </w:r>
    </w:p>
    <w:p w14:paraId="2DB733A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欢迎广大考生报考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华南师范大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学美术学院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！</w:t>
      </w:r>
    </w:p>
    <w:p w14:paraId="031C46E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研究生招生咨询电话：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020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85216159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（工作日时间）</w:t>
      </w:r>
    </w:p>
    <w:p w14:paraId="27E4E1F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4821C50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5320" w:firstLineChars="190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华南师范大学美术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学院</w:t>
      </w:r>
    </w:p>
    <w:p w14:paraId="142DCA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6160" w:firstLineChars="220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ZDA4MDFlMGUyYmVmNDdkZTE1ZmE0NTliMzliY2QifQ=="/>
  </w:docVars>
  <w:rsids>
    <w:rsidRoot w:val="00000000"/>
    <w:rsid w:val="04DE7A0A"/>
    <w:rsid w:val="0606363B"/>
    <w:rsid w:val="075D02EA"/>
    <w:rsid w:val="117F262B"/>
    <w:rsid w:val="11CC15E8"/>
    <w:rsid w:val="13DB269B"/>
    <w:rsid w:val="14A5684C"/>
    <w:rsid w:val="15426CE6"/>
    <w:rsid w:val="16077093"/>
    <w:rsid w:val="18A4506D"/>
    <w:rsid w:val="1AC62A76"/>
    <w:rsid w:val="1AF17443"/>
    <w:rsid w:val="1EF36406"/>
    <w:rsid w:val="200D799B"/>
    <w:rsid w:val="227B1DFF"/>
    <w:rsid w:val="23C82683"/>
    <w:rsid w:val="26EF7DFB"/>
    <w:rsid w:val="2799495B"/>
    <w:rsid w:val="2B954013"/>
    <w:rsid w:val="2CEF2903"/>
    <w:rsid w:val="2FA33530"/>
    <w:rsid w:val="35FC6A17"/>
    <w:rsid w:val="381B5E1E"/>
    <w:rsid w:val="3B9D099D"/>
    <w:rsid w:val="42C460E5"/>
    <w:rsid w:val="433E1A96"/>
    <w:rsid w:val="43D67799"/>
    <w:rsid w:val="49A95790"/>
    <w:rsid w:val="4A5B7E51"/>
    <w:rsid w:val="4B9B558A"/>
    <w:rsid w:val="4C3C2CDC"/>
    <w:rsid w:val="4DFE3CEA"/>
    <w:rsid w:val="4E751BA5"/>
    <w:rsid w:val="560816A7"/>
    <w:rsid w:val="5CFC234E"/>
    <w:rsid w:val="5D9F132B"/>
    <w:rsid w:val="5DFC5B86"/>
    <w:rsid w:val="60F21B89"/>
    <w:rsid w:val="613648C1"/>
    <w:rsid w:val="61677FB2"/>
    <w:rsid w:val="673D1FE1"/>
    <w:rsid w:val="67DF4D46"/>
    <w:rsid w:val="6A7A6FA8"/>
    <w:rsid w:val="6BD33D1E"/>
    <w:rsid w:val="6F5558EE"/>
    <w:rsid w:val="6FBE4923"/>
    <w:rsid w:val="749A746A"/>
    <w:rsid w:val="765B1A3C"/>
    <w:rsid w:val="79AD21CC"/>
    <w:rsid w:val="7AE8512F"/>
    <w:rsid w:val="7F5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473</Characters>
  <Lines>0</Lines>
  <Paragraphs>0</Paragraphs>
  <TotalTime>6</TotalTime>
  <ScaleCrop>false</ScaleCrop>
  <LinksUpToDate>false</LinksUpToDate>
  <CharactersWithSpaces>481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2024-07-08T07:48:00Z</dcterms:created>
  <dc:creator>hp</dc:creator>
  <cp:lastModifiedBy>Winni</cp:lastModifiedBy>
  <dcterms:modified xsi:type="dcterms:W3CDTF">2024-09-18T02:20:48Z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EB6DB300A64342D4BD0988379C989A4B_13</vt:lpwstr>
  </property>
</Properties>
</file>