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04599">
      <w:pPr>
        <w:jc w:val="left"/>
        <w:rPr>
          <w:color w:val="auto"/>
          <w:sz w:val="21"/>
          <w:szCs w:val="21"/>
        </w:rPr>
      </w:pPr>
      <w:r>
        <w:rPr>
          <w:rFonts w:hint="eastAsia" w:ascii="黑体" w:hAnsi="黑体" w:eastAsia="黑体" w:cs="黑体"/>
          <w:color w:val="auto"/>
          <w:sz w:val="21"/>
          <w:szCs w:val="21"/>
        </w:rPr>
        <w:t>附件</w:t>
      </w:r>
      <w:r>
        <w:rPr>
          <w:rFonts w:hint="eastAsia" w:ascii="黑体" w:hAnsi="黑体" w:eastAsia="黑体" w:cs="黑体"/>
          <w:color w:val="auto"/>
          <w:sz w:val="21"/>
          <w:szCs w:val="21"/>
          <w:lang w:val="en-US" w:eastAsia="zh-CN"/>
        </w:rPr>
        <w:t>2.</w:t>
      </w:r>
      <w:r>
        <w:rPr>
          <w:rFonts w:hint="eastAsia" w:ascii="黑体" w:hAnsi="黑体" w:eastAsia="黑体" w:cs="黑体"/>
          <w:color w:val="auto"/>
          <w:sz w:val="21"/>
          <w:szCs w:val="21"/>
        </w:rPr>
        <w:t>5</w:t>
      </w:r>
    </w:p>
    <w:p w14:paraId="2045FA77">
      <w:pPr>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lang w:eastAsia="zh-CN"/>
        </w:rPr>
        <w:t>“</w:t>
      </w:r>
      <w:r>
        <w:rPr>
          <w:rFonts w:hint="eastAsia" w:ascii="方正小标宋简体" w:hAnsi="方正小标宋简体" w:eastAsia="方正小标宋简体" w:cs="方正小标宋简体"/>
          <w:b w:val="0"/>
          <w:bCs/>
          <w:sz w:val="32"/>
          <w:szCs w:val="32"/>
        </w:rPr>
        <w:t>思政</w:t>
      </w:r>
      <w:r>
        <w:rPr>
          <w:rFonts w:hint="eastAsia" w:ascii="方正小标宋简体" w:hAnsi="方正小标宋简体" w:eastAsia="方正小标宋简体" w:cs="方正小标宋简体"/>
          <w:b w:val="0"/>
          <w:bCs/>
          <w:sz w:val="32"/>
          <w:szCs w:val="32"/>
          <w:lang w:val="en-US" w:eastAsia="zh-CN"/>
        </w:rPr>
        <w:t>拔尖创新人才”选拔</w:t>
      </w:r>
      <w:r>
        <w:rPr>
          <w:rFonts w:hint="eastAsia" w:ascii="方正小标宋简体" w:hAnsi="方正小标宋简体" w:eastAsia="方正小标宋简体" w:cs="方正小标宋简体"/>
          <w:b w:val="0"/>
          <w:bCs/>
          <w:sz w:val="32"/>
          <w:szCs w:val="32"/>
        </w:rPr>
        <w:t>附加分自评表</w:t>
      </w:r>
    </w:p>
    <w:tbl>
      <w:tblPr>
        <w:tblStyle w:val="4"/>
        <w:tblpPr w:leftFromText="180" w:rightFromText="180" w:vertAnchor="text" w:horzAnchor="page" w:tblpXSpec="center" w:tblpY="373"/>
        <w:tblOverlap w:val="never"/>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144"/>
        <w:gridCol w:w="1827"/>
        <w:gridCol w:w="2358"/>
        <w:gridCol w:w="1863"/>
        <w:gridCol w:w="1183"/>
        <w:gridCol w:w="1134"/>
      </w:tblGrid>
      <w:tr w14:paraId="7B24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808" w:type="dxa"/>
            <w:gridSpan w:val="2"/>
            <w:vAlign w:val="center"/>
          </w:tcPr>
          <w:p w14:paraId="1F0E2BFD">
            <w:pPr>
              <w:spacing w:line="520" w:lineRule="exact"/>
              <w:jc w:val="center"/>
              <w:rPr>
                <w:rFonts w:ascii="仿宋" w:hAnsi="仿宋" w:eastAsia="仿宋"/>
                <w:color w:val="auto"/>
                <w:sz w:val="24"/>
                <w:szCs w:val="18"/>
              </w:rPr>
            </w:pPr>
            <w:r>
              <w:rPr>
                <w:rFonts w:ascii="仿宋" w:hAnsi="仿宋" w:eastAsia="仿宋"/>
                <w:color w:val="auto"/>
                <w:sz w:val="24"/>
                <w:szCs w:val="18"/>
              </w:rPr>
              <w:t>姓名</w:t>
            </w:r>
          </w:p>
        </w:tc>
        <w:tc>
          <w:tcPr>
            <w:tcW w:w="1827" w:type="dxa"/>
            <w:vAlign w:val="center"/>
          </w:tcPr>
          <w:p w14:paraId="63D4A1C3">
            <w:pPr>
              <w:spacing w:line="520" w:lineRule="exact"/>
              <w:jc w:val="center"/>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张三</w:t>
            </w:r>
          </w:p>
        </w:tc>
        <w:tc>
          <w:tcPr>
            <w:tcW w:w="2358" w:type="dxa"/>
            <w:vAlign w:val="center"/>
          </w:tcPr>
          <w:p w14:paraId="0395D167">
            <w:pPr>
              <w:spacing w:line="520" w:lineRule="exact"/>
              <w:jc w:val="center"/>
              <w:rPr>
                <w:rFonts w:ascii="仿宋" w:hAnsi="仿宋" w:eastAsia="仿宋"/>
                <w:color w:val="auto"/>
                <w:sz w:val="24"/>
                <w:szCs w:val="18"/>
              </w:rPr>
            </w:pPr>
            <w:r>
              <w:rPr>
                <w:rFonts w:hint="eastAsia" w:ascii="仿宋" w:hAnsi="仿宋" w:eastAsia="仿宋"/>
                <w:color w:val="auto"/>
                <w:sz w:val="24"/>
                <w:szCs w:val="18"/>
              </w:rPr>
              <w:t>学院及专业</w:t>
            </w:r>
          </w:p>
        </w:tc>
        <w:tc>
          <w:tcPr>
            <w:tcW w:w="4180" w:type="dxa"/>
            <w:gridSpan w:val="3"/>
            <w:vAlign w:val="center"/>
          </w:tcPr>
          <w:p w14:paraId="6836633B">
            <w:pPr>
              <w:spacing w:line="520" w:lineRule="exact"/>
              <w:jc w:val="center"/>
              <w:rPr>
                <w:rFonts w:ascii="仿宋" w:hAnsi="仿宋" w:eastAsia="仿宋"/>
                <w:color w:val="auto"/>
                <w:sz w:val="24"/>
                <w:szCs w:val="18"/>
              </w:rPr>
            </w:pPr>
          </w:p>
        </w:tc>
      </w:tr>
      <w:tr w14:paraId="0E45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808" w:type="dxa"/>
            <w:gridSpan w:val="2"/>
            <w:vAlign w:val="center"/>
          </w:tcPr>
          <w:p w14:paraId="1C56DD38">
            <w:pPr>
              <w:spacing w:line="520" w:lineRule="exact"/>
              <w:jc w:val="center"/>
              <w:rPr>
                <w:rFonts w:ascii="仿宋" w:hAnsi="仿宋" w:eastAsia="仿宋"/>
                <w:color w:val="auto"/>
                <w:sz w:val="24"/>
                <w:szCs w:val="18"/>
              </w:rPr>
            </w:pPr>
            <w:r>
              <w:rPr>
                <w:rFonts w:hint="eastAsia" w:ascii="仿宋" w:hAnsi="仿宋" w:eastAsia="仿宋"/>
                <w:color w:val="auto"/>
                <w:sz w:val="24"/>
                <w:szCs w:val="18"/>
              </w:rPr>
              <w:t>手机</w:t>
            </w:r>
          </w:p>
        </w:tc>
        <w:tc>
          <w:tcPr>
            <w:tcW w:w="1827" w:type="dxa"/>
            <w:vAlign w:val="center"/>
          </w:tcPr>
          <w:p w14:paraId="42AD4121">
            <w:pPr>
              <w:spacing w:line="520" w:lineRule="exact"/>
              <w:jc w:val="center"/>
              <w:rPr>
                <w:rFonts w:ascii="仿宋" w:hAnsi="仿宋" w:eastAsia="仿宋"/>
                <w:color w:val="auto"/>
                <w:sz w:val="24"/>
                <w:szCs w:val="18"/>
              </w:rPr>
            </w:pPr>
          </w:p>
        </w:tc>
        <w:tc>
          <w:tcPr>
            <w:tcW w:w="2358" w:type="dxa"/>
            <w:vAlign w:val="center"/>
          </w:tcPr>
          <w:p w14:paraId="00689AE0">
            <w:pPr>
              <w:spacing w:line="520" w:lineRule="exact"/>
              <w:jc w:val="center"/>
              <w:rPr>
                <w:rFonts w:ascii="仿宋" w:hAnsi="仿宋" w:eastAsia="仿宋"/>
                <w:color w:val="auto"/>
                <w:sz w:val="24"/>
                <w:szCs w:val="18"/>
              </w:rPr>
            </w:pPr>
            <w:r>
              <w:rPr>
                <w:rFonts w:hint="eastAsia" w:ascii="仿宋" w:hAnsi="仿宋" w:eastAsia="仿宋"/>
                <w:color w:val="auto"/>
                <w:sz w:val="24"/>
                <w:szCs w:val="18"/>
              </w:rPr>
              <w:t>邮箱</w:t>
            </w:r>
          </w:p>
        </w:tc>
        <w:tc>
          <w:tcPr>
            <w:tcW w:w="4180" w:type="dxa"/>
            <w:gridSpan w:val="3"/>
            <w:vAlign w:val="center"/>
          </w:tcPr>
          <w:p w14:paraId="082BEA9D">
            <w:pPr>
              <w:spacing w:line="520" w:lineRule="exact"/>
              <w:jc w:val="center"/>
              <w:rPr>
                <w:rFonts w:ascii="仿宋" w:hAnsi="仿宋" w:eastAsia="仿宋"/>
                <w:color w:val="auto"/>
                <w:sz w:val="24"/>
                <w:szCs w:val="18"/>
              </w:rPr>
            </w:pPr>
          </w:p>
        </w:tc>
      </w:tr>
      <w:tr w14:paraId="4DE4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trPr>
        <w:tc>
          <w:tcPr>
            <w:tcW w:w="664" w:type="dxa"/>
            <w:vMerge w:val="restart"/>
            <w:vAlign w:val="center"/>
          </w:tcPr>
          <w:p w14:paraId="7132E646">
            <w:pPr>
              <w:snapToGrid w:val="0"/>
              <w:jc w:val="center"/>
              <w:rPr>
                <w:rFonts w:ascii="仿宋" w:hAnsi="仿宋" w:eastAsia="仿宋"/>
                <w:color w:val="auto"/>
                <w:sz w:val="24"/>
                <w:szCs w:val="18"/>
              </w:rPr>
            </w:pPr>
            <w:r>
              <w:rPr>
                <w:rFonts w:hint="eastAsia" w:ascii="仿宋" w:hAnsi="仿宋" w:eastAsia="仿宋"/>
                <w:color w:val="auto"/>
                <w:sz w:val="24"/>
                <w:szCs w:val="18"/>
              </w:rPr>
              <w:t>附加分</w:t>
            </w:r>
          </w:p>
        </w:tc>
        <w:tc>
          <w:tcPr>
            <w:tcW w:w="5329" w:type="dxa"/>
            <w:gridSpan w:val="3"/>
            <w:vAlign w:val="center"/>
          </w:tcPr>
          <w:p w14:paraId="316BF0A1">
            <w:pPr>
              <w:spacing w:line="520" w:lineRule="exact"/>
              <w:jc w:val="center"/>
              <w:rPr>
                <w:rFonts w:ascii="仿宋" w:hAnsi="仿宋" w:eastAsia="仿宋"/>
                <w:color w:val="auto"/>
                <w:sz w:val="24"/>
                <w:szCs w:val="18"/>
              </w:rPr>
            </w:pPr>
            <w:r>
              <w:rPr>
                <w:rFonts w:hint="eastAsia" w:ascii="仿宋" w:hAnsi="仿宋" w:eastAsia="仿宋"/>
                <w:color w:val="auto"/>
                <w:sz w:val="24"/>
                <w:szCs w:val="18"/>
              </w:rPr>
              <w:t>加分条件</w:t>
            </w:r>
          </w:p>
        </w:tc>
        <w:tc>
          <w:tcPr>
            <w:tcW w:w="1863" w:type="dxa"/>
            <w:vAlign w:val="center"/>
          </w:tcPr>
          <w:p w14:paraId="3A683BA6">
            <w:pPr>
              <w:snapToGrid w:val="0"/>
              <w:jc w:val="center"/>
              <w:rPr>
                <w:rFonts w:ascii="仿宋" w:hAnsi="仿宋" w:eastAsia="仿宋"/>
                <w:color w:val="auto"/>
                <w:sz w:val="24"/>
                <w:szCs w:val="18"/>
              </w:rPr>
            </w:pPr>
            <w:r>
              <w:rPr>
                <w:rFonts w:hint="eastAsia" w:ascii="仿宋" w:hAnsi="仿宋" w:eastAsia="仿宋"/>
                <w:color w:val="auto"/>
                <w:sz w:val="24"/>
                <w:szCs w:val="18"/>
              </w:rPr>
              <w:t>个人自填</w:t>
            </w:r>
          </w:p>
          <w:p w14:paraId="54983A6D">
            <w:pPr>
              <w:snapToGrid w:val="0"/>
              <w:jc w:val="center"/>
              <w:rPr>
                <w:rFonts w:ascii="仿宋" w:hAnsi="仿宋" w:eastAsia="仿宋"/>
                <w:color w:val="auto"/>
                <w:sz w:val="24"/>
                <w:szCs w:val="18"/>
              </w:rPr>
            </w:pPr>
            <w:r>
              <w:rPr>
                <w:rFonts w:hint="eastAsia" w:ascii="仿宋" w:hAnsi="仿宋" w:eastAsia="仿宋"/>
                <w:color w:val="auto"/>
                <w:sz w:val="24"/>
                <w:szCs w:val="18"/>
              </w:rPr>
              <w:t>加分内容</w:t>
            </w:r>
          </w:p>
        </w:tc>
        <w:tc>
          <w:tcPr>
            <w:tcW w:w="1183" w:type="dxa"/>
            <w:vAlign w:val="center"/>
          </w:tcPr>
          <w:p w14:paraId="1672E837">
            <w:pPr>
              <w:snapToGrid w:val="0"/>
              <w:jc w:val="center"/>
              <w:rPr>
                <w:rFonts w:ascii="仿宋" w:hAnsi="仿宋" w:eastAsia="仿宋"/>
                <w:color w:val="auto"/>
                <w:sz w:val="24"/>
                <w:szCs w:val="18"/>
              </w:rPr>
            </w:pPr>
            <w:r>
              <w:rPr>
                <w:rFonts w:hint="eastAsia" w:ascii="仿宋" w:hAnsi="仿宋" w:eastAsia="仿宋"/>
                <w:color w:val="auto"/>
                <w:sz w:val="24"/>
                <w:szCs w:val="18"/>
              </w:rPr>
              <w:t>个人自评得分</w:t>
            </w:r>
          </w:p>
        </w:tc>
        <w:tc>
          <w:tcPr>
            <w:tcW w:w="1134" w:type="dxa"/>
            <w:vAlign w:val="center"/>
          </w:tcPr>
          <w:p w14:paraId="376AABFC">
            <w:pPr>
              <w:snapToGrid w:val="0"/>
              <w:jc w:val="center"/>
              <w:rPr>
                <w:rFonts w:ascii="仿宋" w:hAnsi="仿宋" w:eastAsia="仿宋"/>
                <w:color w:val="auto"/>
                <w:sz w:val="24"/>
                <w:szCs w:val="18"/>
              </w:rPr>
            </w:pPr>
            <w:r>
              <w:rPr>
                <w:rFonts w:hint="eastAsia" w:ascii="仿宋" w:hAnsi="仿宋" w:eastAsia="仿宋"/>
                <w:color w:val="auto"/>
                <w:sz w:val="24"/>
                <w:szCs w:val="18"/>
              </w:rPr>
              <w:t>复核得分</w:t>
            </w:r>
          </w:p>
        </w:tc>
      </w:tr>
      <w:tr w14:paraId="060F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trPr>
        <w:tc>
          <w:tcPr>
            <w:tcW w:w="664" w:type="dxa"/>
            <w:vMerge w:val="continue"/>
            <w:vAlign w:val="center"/>
          </w:tcPr>
          <w:p w14:paraId="5ECD053A">
            <w:pPr>
              <w:snapToGrid w:val="0"/>
              <w:jc w:val="center"/>
              <w:rPr>
                <w:rFonts w:ascii="仿宋" w:hAnsi="仿宋" w:eastAsia="仿宋"/>
                <w:color w:val="auto"/>
                <w:sz w:val="28"/>
              </w:rPr>
            </w:pPr>
          </w:p>
        </w:tc>
        <w:tc>
          <w:tcPr>
            <w:tcW w:w="5329" w:type="dxa"/>
            <w:gridSpan w:val="3"/>
            <w:vAlign w:val="center"/>
          </w:tcPr>
          <w:p w14:paraId="689C906C">
            <w:pPr>
              <w:snapToGrid w:val="0"/>
              <w:jc w:val="left"/>
              <w:rPr>
                <w:rFonts w:ascii="仿宋" w:hAnsi="仿宋" w:eastAsia="仿宋"/>
                <w:color w:val="auto"/>
                <w:szCs w:val="21"/>
              </w:rPr>
            </w:pPr>
            <w:r>
              <w:rPr>
                <w:rFonts w:hint="eastAsia" w:ascii="仿宋" w:hAnsi="仿宋" w:eastAsia="仿宋"/>
                <w:color w:val="auto"/>
                <w:szCs w:val="21"/>
              </w:rPr>
              <w:t>（一）荣誉表彰</w:t>
            </w:r>
          </w:p>
          <w:p w14:paraId="2337FF8B">
            <w:pPr>
              <w:snapToGrid w:val="0"/>
              <w:jc w:val="left"/>
              <w:rPr>
                <w:rFonts w:hint="eastAsia" w:ascii="仿宋" w:hAnsi="仿宋" w:eastAsia="仿宋"/>
                <w:color w:val="auto"/>
                <w:szCs w:val="21"/>
              </w:rPr>
            </w:pPr>
            <w:r>
              <w:rPr>
                <w:rFonts w:hint="eastAsia" w:ascii="仿宋" w:hAnsi="仿宋" w:eastAsia="仿宋"/>
                <w:color w:val="auto"/>
                <w:szCs w:val="21"/>
              </w:rPr>
              <w:t>1.获各级党组织评出的“优秀共产党员”“优秀党支部书记”“品学兼优、全面发展模范共产党员”等荣誉称号；</w:t>
            </w:r>
          </w:p>
          <w:p w14:paraId="19FB12AA">
            <w:pPr>
              <w:snapToGrid w:val="0"/>
              <w:jc w:val="left"/>
              <w:rPr>
                <w:rFonts w:hint="eastAsia" w:ascii="仿宋" w:hAnsi="仿宋" w:eastAsia="仿宋"/>
                <w:color w:val="auto"/>
                <w:szCs w:val="21"/>
              </w:rPr>
            </w:pPr>
            <w:r>
              <w:rPr>
                <w:rFonts w:hint="eastAsia" w:ascii="仿宋" w:hAnsi="仿宋" w:eastAsia="仿宋"/>
                <w:color w:val="auto"/>
                <w:szCs w:val="21"/>
              </w:rPr>
              <w:t>2.获各级教育行政部门和共青团组织评出的“大学生年度人物（含提名奖）”“中国大学生自强之星(标兵)”“向上向善好青年”“感动南粤十大人物”“大学生年度人物” “优秀志愿者”“青年五四奖章”“优秀共青团员”“优秀共青团干部”“优秀（百佳）团支部书记”“优秀学生骨干”等荣誉称号；</w:t>
            </w:r>
          </w:p>
          <w:p w14:paraId="6527CE26">
            <w:pPr>
              <w:snapToGrid w:val="0"/>
              <w:jc w:val="left"/>
              <w:rPr>
                <w:rFonts w:hint="eastAsia" w:ascii="仿宋" w:hAnsi="仿宋" w:eastAsia="仿宋"/>
                <w:color w:val="auto"/>
                <w:szCs w:val="21"/>
                <w:lang w:eastAsia="zh-CN"/>
              </w:rPr>
            </w:pPr>
            <w:r>
              <w:rPr>
                <w:rFonts w:hint="eastAsia" w:ascii="仿宋" w:hAnsi="仿宋" w:eastAsia="仿宋"/>
                <w:color w:val="auto"/>
                <w:szCs w:val="21"/>
              </w:rPr>
              <w:t>3.获学校相关党委部门评出的“优秀学生干部”，包括校党委组织部评出的“优秀学生干部”、校党委宣传部评出的新闻社“年度优秀成员”和校党委学生工作部评出的“优秀学生兼职班主任”“优秀兼职辅导员”“易班优秀学生干部”、“华师学工”新闻工作室“优秀学生干部”、国旗护卫队“优秀学生干部”等荣誉称号</w:t>
            </w:r>
            <w:r>
              <w:rPr>
                <w:rFonts w:hint="eastAsia" w:ascii="仿宋" w:hAnsi="仿宋" w:eastAsia="仿宋"/>
                <w:color w:val="auto"/>
                <w:szCs w:val="21"/>
                <w:lang w:eastAsia="zh-CN"/>
              </w:rPr>
              <w:t>。</w:t>
            </w:r>
          </w:p>
          <w:p w14:paraId="322FC195">
            <w:pPr>
              <w:snapToGrid w:val="0"/>
              <w:jc w:val="left"/>
              <w:rPr>
                <w:rFonts w:ascii="仿宋" w:hAnsi="仿宋" w:eastAsia="仿宋"/>
                <w:color w:val="auto"/>
                <w:szCs w:val="21"/>
              </w:rPr>
            </w:pPr>
            <w:r>
              <w:rPr>
                <w:rFonts w:hint="eastAsia" w:ascii="仿宋" w:hAnsi="仿宋" w:eastAsia="仿宋" w:cs="Times New Roman"/>
                <w:color w:val="auto"/>
                <w:szCs w:val="21"/>
              </w:rPr>
              <w:t>上述表彰，省级及以上加 5 分，校级加 3 分，不累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注：提供相应的荣誉证书或证明材料。）</w:t>
            </w:r>
          </w:p>
        </w:tc>
        <w:tc>
          <w:tcPr>
            <w:tcW w:w="1863" w:type="dxa"/>
            <w:vAlign w:val="center"/>
          </w:tcPr>
          <w:p w14:paraId="63548092">
            <w:pPr>
              <w:snapToGrid w:val="0"/>
              <w:jc w:val="center"/>
              <w:rPr>
                <w:rFonts w:ascii="仿宋" w:hAnsi="仿宋" w:eastAsia="仿宋"/>
                <w:color w:val="auto"/>
                <w:sz w:val="28"/>
              </w:rPr>
            </w:pPr>
            <w:r>
              <w:rPr>
                <w:rFonts w:hint="eastAsia" w:ascii="仿宋" w:hAnsi="仿宋" w:eastAsia="仿宋"/>
                <w:color w:val="auto"/>
                <w:szCs w:val="21"/>
              </w:rPr>
              <w:t>如：校级，2023年6月，华南师范大学“优秀学生骨干”荣誉称号，华南师范大学</w:t>
            </w:r>
          </w:p>
        </w:tc>
        <w:tc>
          <w:tcPr>
            <w:tcW w:w="1183" w:type="dxa"/>
            <w:vAlign w:val="center"/>
          </w:tcPr>
          <w:p w14:paraId="5C6B5C6D">
            <w:pPr>
              <w:snapToGrid w:val="0"/>
              <w:jc w:val="center"/>
              <w:rPr>
                <w:rFonts w:ascii="仿宋" w:hAnsi="仿宋" w:eastAsia="仿宋"/>
                <w:color w:val="auto"/>
                <w:sz w:val="28"/>
              </w:rPr>
            </w:pPr>
            <w:r>
              <w:rPr>
                <w:rFonts w:hint="eastAsia" w:ascii="仿宋" w:hAnsi="仿宋" w:eastAsia="仿宋"/>
                <w:color w:val="auto"/>
                <w:szCs w:val="21"/>
              </w:rPr>
              <w:t>如：3</w:t>
            </w:r>
          </w:p>
        </w:tc>
        <w:tc>
          <w:tcPr>
            <w:tcW w:w="1134" w:type="dxa"/>
            <w:vAlign w:val="center"/>
          </w:tcPr>
          <w:p w14:paraId="2CF40928">
            <w:pPr>
              <w:snapToGrid w:val="0"/>
              <w:jc w:val="center"/>
              <w:rPr>
                <w:rFonts w:ascii="仿宋" w:hAnsi="仿宋" w:eastAsia="仿宋"/>
                <w:color w:val="auto"/>
                <w:sz w:val="28"/>
              </w:rPr>
            </w:pPr>
          </w:p>
        </w:tc>
      </w:tr>
      <w:tr w14:paraId="6103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trPr>
        <w:tc>
          <w:tcPr>
            <w:tcW w:w="664" w:type="dxa"/>
            <w:vMerge w:val="continue"/>
            <w:vAlign w:val="center"/>
          </w:tcPr>
          <w:p w14:paraId="3D33F6B6">
            <w:pPr>
              <w:snapToGrid w:val="0"/>
              <w:jc w:val="center"/>
              <w:rPr>
                <w:rFonts w:ascii="仿宋" w:hAnsi="仿宋" w:eastAsia="仿宋"/>
                <w:color w:val="auto"/>
                <w:sz w:val="28"/>
              </w:rPr>
            </w:pPr>
          </w:p>
        </w:tc>
        <w:tc>
          <w:tcPr>
            <w:tcW w:w="5329" w:type="dxa"/>
            <w:gridSpan w:val="3"/>
            <w:vAlign w:val="center"/>
          </w:tcPr>
          <w:p w14:paraId="764510ED">
            <w:pPr>
              <w:snapToGrid w:val="0"/>
              <w:jc w:val="left"/>
              <w:rPr>
                <w:rFonts w:ascii="仿宋" w:hAnsi="仿宋" w:eastAsia="仿宋"/>
                <w:color w:val="auto"/>
                <w:szCs w:val="21"/>
              </w:rPr>
            </w:pPr>
            <w:r>
              <w:rPr>
                <w:rFonts w:hint="eastAsia" w:ascii="仿宋" w:hAnsi="仿宋" w:eastAsia="仿宋"/>
                <w:color w:val="auto"/>
                <w:szCs w:val="21"/>
              </w:rPr>
              <w:t>（二）学术科研</w:t>
            </w:r>
          </w:p>
          <w:p w14:paraId="3B0D6D8C">
            <w:pPr>
              <w:snapToGrid w:val="0"/>
              <w:jc w:val="left"/>
              <w:rPr>
                <w:rFonts w:hint="eastAsia" w:ascii="仿宋" w:hAnsi="仿宋" w:eastAsia="仿宋"/>
                <w:color w:val="auto"/>
                <w:szCs w:val="21"/>
              </w:rPr>
            </w:pPr>
            <w:r>
              <w:rPr>
                <w:rFonts w:hint="eastAsia" w:ascii="仿宋" w:hAnsi="仿宋" w:eastAsia="仿宋"/>
                <w:color w:val="auto"/>
                <w:szCs w:val="21"/>
              </w:rPr>
              <w:t>1.获“国家奖学金”，加5分；</w:t>
            </w:r>
          </w:p>
          <w:p w14:paraId="6928DFEC">
            <w:pPr>
              <w:snapToGrid w:val="0"/>
              <w:jc w:val="left"/>
              <w:rPr>
                <w:rFonts w:hint="eastAsia" w:ascii="仿宋" w:hAnsi="仿宋" w:eastAsia="仿宋"/>
                <w:color w:val="auto"/>
                <w:szCs w:val="21"/>
              </w:rPr>
            </w:pPr>
            <w:r>
              <w:rPr>
                <w:rFonts w:hint="eastAsia" w:ascii="仿宋" w:hAnsi="仿宋" w:eastAsia="仿宋"/>
                <w:color w:val="auto"/>
                <w:szCs w:val="21"/>
              </w:rPr>
              <w:t>2.在权威机构（参见本年度学校创新奖评选认定范围）主办的学科竞赛（含师范技能竞赛）中，获得省级及以上奖励（含美术类的参展），加 5 分；在权威机构主办的学科竞赛（含师范技能竞赛）对应的校级竞赛项目中，获学校最高奖项且排名前三的成员，加3分。</w:t>
            </w:r>
          </w:p>
          <w:p w14:paraId="5B6284E5">
            <w:pPr>
              <w:snapToGrid w:val="0"/>
              <w:jc w:val="left"/>
              <w:rPr>
                <w:rFonts w:hint="eastAsia" w:ascii="仿宋" w:hAnsi="仿宋" w:eastAsia="仿宋"/>
                <w:color w:val="auto"/>
                <w:szCs w:val="21"/>
              </w:rPr>
            </w:pPr>
            <w:r>
              <w:rPr>
                <w:rFonts w:hint="eastAsia" w:ascii="仿宋" w:hAnsi="仿宋" w:eastAsia="仿宋"/>
                <w:color w:val="auto"/>
                <w:szCs w:val="21"/>
              </w:rPr>
              <w:t>3.在学校科研部门界定的 B 级及以上刊物、当年收录的（CSSCI）南大核心或《中文核心期刊目录总览》北大核心刊物上发表文章且排名前三的作者，加5分；</w:t>
            </w:r>
          </w:p>
          <w:p w14:paraId="0F603218">
            <w:pPr>
              <w:snapToGrid w:val="0"/>
              <w:jc w:val="left"/>
              <w:rPr>
                <w:rFonts w:hint="eastAsia" w:ascii="仿宋" w:hAnsi="仿宋" w:eastAsia="仿宋"/>
                <w:color w:val="auto"/>
                <w:szCs w:val="21"/>
              </w:rPr>
            </w:pPr>
            <w:r>
              <w:rPr>
                <w:rFonts w:hint="eastAsia" w:ascii="仿宋" w:hAnsi="仿宋" w:eastAsia="仿宋"/>
                <w:color w:val="auto"/>
                <w:szCs w:val="21"/>
              </w:rPr>
              <w:t>4.以第一作者取得国内外发明专利、实用新型专利、软件著作权，加 5分；</w:t>
            </w:r>
          </w:p>
          <w:p w14:paraId="6F35D818">
            <w:pPr>
              <w:snapToGrid w:val="0"/>
              <w:jc w:val="left"/>
              <w:rPr>
                <w:rFonts w:hint="eastAsia" w:ascii="仿宋" w:hAnsi="仿宋" w:eastAsia="仿宋"/>
                <w:color w:val="auto"/>
                <w:szCs w:val="21"/>
              </w:rPr>
            </w:pPr>
            <w:r>
              <w:rPr>
                <w:rFonts w:hint="eastAsia" w:ascii="仿宋" w:hAnsi="仿宋" w:eastAsia="仿宋"/>
                <w:color w:val="auto"/>
                <w:szCs w:val="21"/>
              </w:rPr>
              <w:t>5.参与省级及以上各类大学生课外科研项目并结题且排名前三的成员，加5分。</w:t>
            </w:r>
          </w:p>
          <w:p w14:paraId="45D2CBAD">
            <w:pPr>
              <w:snapToGrid w:val="0"/>
              <w:jc w:val="left"/>
              <w:rPr>
                <w:rFonts w:ascii="仿宋" w:hAnsi="仿宋" w:eastAsia="仿宋"/>
                <w:color w:val="auto"/>
                <w:szCs w:val="21"/>
              </w:rPr>
            </w:pPr>
            <w:r>
              <w:rPr>
                <w:rFonts w:hint="eastAsia" w:ascii="仿宋" w:hAnsi="仿宋" w:eastAsia="仿宋" w:cs="Times New Roman"/>
                <w:color w:val="auto"/>
                <w:szCs w:val="21"/>
              </w:rPr>
              <w:t>上述表彰只计算最高分的一项，不累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（注：以上成果如期刊、证书、证明等材料应体现作者姓名及排名。）</w:t>
            </w:r>
          </w:p>
        </w:tc>
        <w:tc>
          <w:tcPr>
            <w:tcW w:w="1863" w:type="dxa"/>
            <w:vAlign w:val="center"/>
          </w:tcPr>
          <w:p w14:paraId="3734F47E">
            <w:pPr>
              <w:snapToGrid w:val="0"/>
              <w:jc w:val="center"/>
              <w:rPr>
                <w:rFonts w:hint="eastAsia" w:ascii="仿宋" w:hAnsi="仿宋" w:eastAsia="仿宋"/>
                <w:color w:val="auto"/>
                <w:sz w:val="28"/>
                <w:lang w:eastAsia="zh-CN"/>
              </w:rPr>
            </w:pPr>
            <w:r>
              <w:rPr>
                <w:rFonts w:hint="eastAsia" w:ascii="仿宋" w:hAnsi="仿宋" w:eastAsia="仿宋"/>
                <w:color w:val="auto"/>
                <w:szCs w:val="21"/>
              </w:rPr>
              <w:t>如：2022年3月，以第x作者在xx(期刊全称）发表论文xx（论文全称），该期刊为学校科研部门界定的 B 级及以上刊物/当年收录的（CSSCI）南大核心/《中文核心期刊目录总览》北大核心刊物</w:t>
            </w:r>
          </w:p>
        </w:tc>
        <w:tc>
          <w:tcPr>
            <w:tcW w:w="1183" w:type="dxa"/>
            <w:vAlign w:val="center"/>
          </w:tcPr>
          <w:p w14:paraId="3DF454BA">
            <w:pPr>
              <w:snapToGrid w:val="0"/>
              <w:jc w:val="center"/>
              <w:rPr>
                <w:rFonts w:ascii="仿宋" w:hAnsi="仿宋" w:eastAsia="仿宋"/>
                <w:color w:val="auto"/>
                <w:sz w:val="28"/>
              </w:rPr>
            </w:pPr>
            <w:r>
              <w:rPr>
                <w:rFonts w:hint="eastAsia" w:ascii="仿宋" w:hAnsi="仿宋" w:eastAsia="仿宋"/>
                <w:color w:val="auto"/>
                <w:szCs w:val="21"/>
              </w:rPr>
              <w:t>如：</w:t>
            </w:r>
            <w:r>
              <w:rPr>
                <w:rFonts w:ascii="仿宋" w:hAnsi="仿宋" w:eastAsia="仿宋"/>
                <w:color w:val="auto"/>
                <w:szCs w:val="21"/>
              </w:rPr>
              <w:t>5</w:t>
            </w:r>
          </w:p>
        </w:tc>
        <w:tc>
          <w:tcPr>
            <w:tcW w:w="1134" w:type="dxa"/>
            <w:vAlign w:val="center"/>
          </w:tcPr>
          <w:p w14:paraId="4F569931">
            <w:pPr>
              <w:snapToGrid w:val="0"/>
              <w:jc w:val="center"/>
              <w:rPr>
                <w:rFonts w:ascii="仿宋" w:hAnsi="仿宋" w:eastAsia="仿宋"/>
                <w:color w:val="auto"/>
                <w:sz w:val="28"/>
              </w:rPr>
            </w:pPr>
          </w:p>
        </w:tc>
      </w:tr>
      <w:tr w14:paraId="14BC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0" w:hRule="atLeast"/>
        </w:trPr>
        <w:tc>
          <w:tcPr>
            <w:tcW w:w="664" w:type="dxa"/>
            <w:vMerge w:val="continue"/>
            <w:vAlign w:val="center"/>
          </w:tcPr>
          <w:p w14:paraId="3AEA1B47">
            <w:pPr>
              <w:snapToGrid w:val="0"/>
              <w:jc w:val="center"/>
              <w:rPr>
                <w:rFonts w:ascii="仿宋" w:hAnsi="仿宋" w:eastAsia="仿宋"/>
                <w:color w:val="auto"/>
                <w:sz w:val="28"/>
              </w:rPr>
            </w:pPr>
          </w:p>
        </w:tc>
        <w:tc>
          <w:tcPr>
            <w:tcW w:w="5329" w:type="dxa"/>
            <w:gridSpan w:val="3"/>
            <w:vAlign w:val="center"/>
          </w:tcPr>
          <w:p w14:paraId="0E3668BC">
            <w:pPr>
              <w:snapToGrid w:val="0"/>
              <w:jc w:val="left"/>
              <w:rPr>
                <w:rFonts w:ascii="仿宋" w:hAnsi="仿宋" w:eastAsia="仿宋"/>
                <w:color w:val="auto"/>
                <w:szCs w:val="21"/>
              </w:rPr>
            </w:pPr>
            <w:r>
              <w:rPr>
                <w:rFonts w:hint="eastAsia" w:ascii="仿宋" w:hAnsi="仿宋" w:eastAsia="仿宋"/>
                <w:color w:val="auto"/>
                <w:szCs w:val="21"/>
              </w:rPr>
              <w:t>（三）思政素养</w:t>
            </w:r>
          </w:p>
          <w:p w14:paraId="56CCD70E">
            <w:pPr>
              <w:snapToGrid w:val="0"/>
              <w:jc w:val="left"/>
              <w:rPr>
                <w:rFonts w:hint="eastAsia" w:ascii="仿宋" w:hAnsi="仿宋" w:eastAsia="仿宋"/>
                <w:color w:val="auto"/>
                <w:szCs w:val="21"/>
              </w:rPr>
            </w:pPr>
            <w:r>
              <w:rPr>
                <w:rFonts w:hint="eastAsia" w:ascii="仿宋" w:hAnsi="仿宋" w:eastAsia="仿宋"/>
                <w:color w:val="auto"/>
                <w:szCs w:val="21"/>
              </w:rPr>
              <w:t>1.参加教育部、团中央等举办的思政类、心理类主题教育比赛，获三等奖及以上且排名前三的成员，加5分；</w:t>
            </w:r>
          </w:p>
          <w:p w14:paraId="72044F9A">
            <w:pPr>
              <w:snapToGrid w:val="0"/>
              <w:jc w:val="left"/>
              <w:rPr>
                <w:rFonts w:hint="eastAsia" w:ascii="仿宋" w:hAnsi="仿宋" w:eastAsia="仿宋"/>
                <w:color w:val="auto"/>
                <w:szCs w:val="21"/>
              </w:rPr>
            </w:pPr>
            <w:r>
              <w:rPr>
                <w:rFonts w:hint="eastAsia" w:ascii="仿宋" w:hAnsi="仿宋" w:eastAsia="仿宋"/>
                <w:color w:val="auto"/>
                <w:szCs w:val="21"/>
              </w:rPr>
              <w:t>2.参加教育厅、团省委等举办的思政类、心理类主题教育比赛，获一等奖及以上且排名前三的成员，加5分；获二等奖、三等奖、优秀奖且排名前三的成员，分别加3分、2分、1分；</w:t>
            </w:r>
          </w:p>
          <w:p w14:paraId="060245AC">
            <w:pPr>
              <w:snapToGrid w:val="0"/>
              <w:jc w:val="left"/>
              <w:rPr>
                <w:rFonts w:hint="eastAsia" w:ascii="仿宋" w:hAnsi="仿宋" w:eastAsia="仿宋"/>
                <w:color w:val="auto"/>
                <w:szCs w:val="21"/>
              </w:rPr>
            </w:pPr>
            <w:r>
              <w:rPr>
                <w:rFonts w:hint="eastAsia" w:ascii="仿宋" w:hAnsi="仿宋" w:eastAsia="仿宋"/>
                <w:color w:val="auto"/>
                <w:szCs w:val="21"/>
              </w:rPr>
              <w:t>备注：思政类、心理类活动包括但不限于习近平新时代中国特色社会主义思想大学习领航计划、大学生网络文化节、“中华经典诵写讲”大赛、“立志•修身•博学•报国”主题教育系列活动、“读懂中国”活动、高校廉洁教育系列活动、“学宪法讲宪法”活动、保密教育作品征集评选活动、“爱在广东”民族团结进步教育活动、高校易班技术创新大赛、大学生社会治理调研大赛、广东省青少年模拟政协提案征集活动、广东省党团课大赛、党团活动征文比赛，“5.25”大学生心理健康月系列活动等。</w:t>
            </w:r>
          </w:p>
          <w:p w14:paraId="7679C739">
            <w:pPr>
              <w:snapToGrid w:val="0"/>
              <w:jc w:val="left"/>
              <w:rPr>
                <w:rFonts w:ascii="仿宋" w:hAnsi="仿宋" w:eastAsia="仿宋"/>
                <w:color w:val="auto"/>
                <w:szCs w:val="21"/>
              </w:rPr>
            </w:pPr>
            <w:r>
              <w:rPr>
                <w:rFonts w:hint="eastAsia" w:ascii="仿宋" w:hAnsi="仿宋" w:eastAsia="仿宋"/>
                <w:color w:val="auto"/>
                <w:szCs w:val="21"/>
              </w:rPr>
              <w:t>上述表彰只计算最高分的一项，</w:t>
            </w:r>
            <w:r>
              <w:rPr>
                <w:rFonts w:hint="eastAsia" w:ascii="仿宋" w:hAnsi="仿宋" w:eastAsia="仿宋" w:cs="Times New Roman"/>
                <w:color w:val="auto"/>
                <w:szCs w:val="21"/>
              </w:rPr>
              <w:t>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。（注：提供相应的荣誉证书或证明材料。）</w:t>
            </w:r>
          </w:p>
        </w:tc>
        <w:tc>
          <w:tcPr>
            <w:tcW w:w="1863" w:type="dxa"/>
            <w:vAlign w:val="center"/>
          </w:tcPr>
          <w:p w14:paraId="38FB4B60">
            <w:pPr>
              <w:snapToGrid w:val="0"/>
              <w:jc w:val="center"/>
              <w:rPr>
                <w:rFonts w:hint="eastAsia" w:ascii="仿宋" w:hAnsi="仿宋" w:eastAsia="仿宋"/>
                <w:color w:val="auto"/>
                <w:sz w:val="28"/>
                <w:lang w:eastAsia="zh-CN"/>
              </w:rPr>
            </w:pPr>
            <w:r>
              <w:rPr>
                <w:rFonts w:hint="eastAsia" w:ascii="仿宋" w:hAnsi="仿宋" w:eastAsia="仿宋"/>
                <w:color w:val="auto"/>
                <w:szCs w:val="21"/>
              </w:rPr>
              <w:t>如：省级，2024年1月，2023年“立志·修身·博学·报国”主题教育系列活动二等奖，</w:t>
            </w:r>
            <w:r>
              <w:rPr>
                <w:rFonts w:hint="eastAsia" w:ascii="仿宋" w:hAnsi="仿宋" w:eastAsia="仿宋"/>
                <w:color w:val="auto"/>
                <w:szCs w:val="21"/>
                <w:lang w:val="en-US" w:eastAsia="zh-CN"/>
              </w:rPr>
              <w:t>负责人/第x成员，</w:t>
            </w:r>
            <w:r>
              <w:rPr>
                <w:rFonts w:hint="eastAsia" w:ascii="仿宋" w:hAnsi="仿宋" w:eastAsia="仿宋"/>
                <w:color w:val="auto"/>
                <w:szCs w:val="21"/>
              </w:rPr>
              <w:t>广东省教育厅；</w:t>
            </w:r>
          </w:p>
        </w:tc>
        <w:tc>
          <w:tcPr>
            <w:tcW w:w="1183" w:type="dxa"/>
            <w:vAlign w:val="center"/>
          </w:tcPr>
          <w:p w14:paraId="77EB2378">
            <w:pPr>
              <w:snapToGrid w:val="0"/>
              <w:jc w:val="center"/>
              <w:rPr>
                <w:rFonts w:ascii="仿宋" w:hAnsi="仿宋" w:eastAsia="仿宋"/>
                <w:color w:val="auto"/>
                <w:sz w:val="28"/>
              </w:rPr>
            </w:pPr>
            <w:r>
              <w:rPr>
                <w:rFonts w:hint="eastAsia" w:ascii="仿宋" w:hAnsi="仿宋" w:eastAsia="仿宋"/>
                <w:color w:val="auto"/>
                <w:szCs w:val="21"/>
              </w:rPr>
              <w:t>如：</w:t>
            </w:r>
            <w:r>
              <w:rPr>
                <w:rFonts w:ascii="仿宋" w:hAnsi="仿宋" w:eastAsia="仿宋"/>
                <w:color w:val="auto"/>
                <w:szCs w:val="21"/>
              </w:rPr>
              <w:t>3</w:t>
            </w:r>
          </w:p>
        </w:tc>
        <w:tc>
          <w:tcPr>
            <w:tcW w:w="1134" w:type="dxa"/>
            <w:vAlign w:val="center"/>
          </w:tcPr>
          <w:p w14:paraId="551D656B">
            <w:pPr>
              <w:snapToGrid w:val="0"/>
              <w:jc w:val="center"/>
              <w:rPr>
                <w:rFonts w:ascii="仿宋" w:hAnsi="仿宋" w:eastAsia="仿宋"/>
                <w:color w:val="auto"/>
                <w:sz w:val="28"/>
              </w:rPr>
            </w:pPr>
          </w:p>
        </w:tc>
      </w:tr>
      <w:tr w14:paraId="6AEB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808" w:type="dxa"/>
            <w:gridSpan w:val="2"/>
            <w:vAlign w:val="center"/>
          </w:tcPr>
          <w:p w14:paraId="138AEDF8">
            <w:pPr>
              <w:snapToGrid w:val="0"/>
              <w:jc w:val="center"/>
              <w:rPr>
                <w:rFonts w:ascii="仿宋" w:hAnsi="仿宋" w:eastAsia="仿宋"/>
                <w:color w:val="auto"/>
                <w:sz w:val="24"/>
                <w:szCs w:val="18"/>
              </w:rPr>
            </w:pPr>
            <w:r>
              <w:rPr>
                <w:rFonts w:hint="eastAsia" w:ascii="仿宋" w:hAnsi="仿宋" w:eastAsia="仿宋"/>
                <w:color w:val="auto"/>
                <w:sz w:val="24"/>
                <w:szCs w:val="18"/>
              </w:rPr>
              <w:t>证明材料份数</w:t>
            </w:r>
          </w:p>
        </w:tc>
        <w:tc>
          <w:tcPr>
            <w:tcW w:w="4185" w:type="dxa"/>
            <w:gridSpan w:val="2"/>
            <w:vAlign w:val="center"/>
          </w:tcPr>
          <w:p w14:paraId="45734EA7">
            <w:pPr>
              <w:snapToGrid w:val="0"/>
              <w:jc w:val="center"/>
              <w:rPr>
                <w:rFonts w:hint="default" w:ascii="仿宋" w:hAnsi="仿宋" w:eastAsia="仿宋"/>
                <w:color w:val="auto"/>
                <w:sz w:val="24"/>
                <w:szCs w:val="18"/>
                <w:lang w:val="en-US" w:eastAsia="zh-CN"/>
              </w:rPr>
            </w:pPr>
            <w:r>
              <w:rPr>
                <w:rFonts w:hint="eastAsia" w:ascii="仿宋" w:hAnsi="仿宋" w:eastAsia="仿宋"/>
                <w:color w:val="auto"/>
                <w:sz w:val="24"/>
                <w:szCs w:val="18"/>
                <w:lang w:val="en-US" w:eastAsia="zh-CN"/>
              </w:rPr>
              <w:t>份</w:t>
            </w:r>
          </w:p>
        </w:tc>
        <w:tc>
          <w:tcPr>
            <w:tcW w:w="1863" w:type="dxa"/>
            <w:vAlign w:val="center"/>
          </w:tcPr>
          <w:p w14:paraId="4D2B0B32">
            <w:pPr>
              <w:snapToGrid w:val="0"/>
              <w:jc w:val="center"/>
              <w:rPr>
                <w:rFonts w:ascii="仿宋" w:hAnsi="仿宋" w:eastAsia="仿宋"/>
                <w:color w:val="auto"/>
                <w:sz w:val="24"/>
                <w:szCs w:val="18"/>
              </w:rPr>
            </w:pPr>
            <w:r>
              <w:rPr>
                <w:rFonts w:hint="eastAsia" w:ascii="仿宋" w:hAnsi="仿宋" w:eastAsia="仿宋"/>
                <w:color w:val="auto"/>
                <w:sz w:val="24"/>
                <w:szCs w:val="18"/>
              </w:rPr>
              <w:t>总分</w:t>
            </w:r>
          </w:p>
        </w:tc>
        <w:tc>
          <w:tcPr>
            <w:tcW w:w="1183" w:type="dxa"/>
            <w:vAlign w:val="center"/>
          </w:tcPr>
          <w:p w14:paraId="0ED3882E">
            <w:pPr>
              <w:snapToGrid w:val="0"/>
              <w:jc w:val="center"/>
              <w:rPr>
                <w:rFonts w:ascii="仿宋" w:hAnsi="仿宋" w:eastAsia="仿宋"/>
                <w:color w:val="auto"/>
                <w:sz w:val="24"/>
                <w:szCs w:val="18"/>
              </w:rPr>
            </w:pPr>
            <w:r>
              <w:rPr>
                <w:rFonts w:hint="eastAsia" w:ascii="仿宋" w:hAnsi="仿宋" w:eastAsia="仿宋"/>
                <w:color w:val="auto"/>
                <w:sz w:val="24"/>
                <w:szCs w:val="18"/>
              </w:rPr>
              <w:t>1</w:t>
            </w:r>
            <w:r>
              <w:rPr>
                <w:rFonts w:ascii="仿宋" w:hAnsi="仿宋" w:eastAsia="仿宋"/>
                <w:color w:val="auto"/>
                <w:sz w:val="24"/>
                <w:szCs w:val="18"/>
              </w:rPr>
              <w:t>1</w:t>
            </w:r>
          </w:p>
        </w:tc>
        <w:tc>
          <w:tcPr>
            <w:tcW w:w="1134" w:type="dxa"/>
            <w:vAlign w:val="center"/>
          </w:tcPr>
          <w:p w14:paraId="0EE836CA">
            <w:pPr>
              <w:snapToGrid w:val="0"/>
              <w:jc w:val="center"/>
              <w:rPr>
                <w:rFonts w:ascii="仿宋" w:hAnsi="仿宋" w:eastAsia="仿宋"/>
                <w:color w:val="auto"/>
                <w:sz w:val="24"/>
                <w:szCs w:val="18"/>
              </w:rPr>
            </w:pPr>
          </w:p>
        </w:tc>
      </w:tr>
      <w:tr w14:paraId="097D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9" w:hRule="atLeast"/>
        </w:trPr>
        <w:tc>
          <w:tcPr>
            <w:tcW w:w="1808" w:type="dxa"/>
            <w:gridSpan w:val="2"/>
            <w:vAlign w:val="center"/>
          </w:tcPr>
          <w:p w14:paraId="72ADC5F6">
            <w:pPr>
              <w:snapToGrid w:val="0"/>
              <w:jc w:val="center"/>
              <w:rPr>
                <w:rFonts w:ascii="仿宋" w:hAnsi="仿宋" w:eastAsia="仿宋"/>
                <w:color w:val="auto"/>
                <w:sz w:val="24"/>
                <w:szCs w:val="18"/>
              </w:rPr>
            </w:pPr>
            <w:r>
              <w:rPr>
                <w:rFonts w:hint="eastAsia" w:ascii="仿宋" w:hAnsi="仿宋" w:eastAsia="仿宋"/>
                <w:color w:val="auto"/>
                <w:sz w:val="24"/>
                <w:szCs w:val="18"/>
              </w:rPr>
              <w:t>申请人</w:t>
            </w:r>
          </w:p>
          <w:p w14:paraId="4579B645">
            <w:pPr>
              <w:snapToGrid w:val="0"/>
              <w:jc w:val="center"/>
              <w:rPr>
                <w:rFonts w:ascii="仿宋" w:hAnsi="仿宋" w:eastAsia="仿宋"/>
                <w:color w:val="auto"/>
                <w:sz w:val="24"/>
                <w:szCs w:val="18"/>
              </w:rPr>
            </w:pPr>
            <w:r>
              <w:rPr>
                <w:rFonts w:hint="eastAsia" w:ascii="仿宋" w:hAnsi="仿宋" w:eastAsia="仿宋"/>
                <w:color w:val="auto"/>
                <w:sz w:val="24"/>
                <w:szCs w:val="18"/>
              </w:rPr>
              <w:t>签名</w:t>
            </w:r>
          </w:p>
        </w:tc>
        <w:tc>
          <w:tcPr>
            <w:tcW w:w="8365" w:type="dxa"/>
            <w:gridSpan w:val="5"/>
            <w:vAlign w:val="center"/>
          </w:tcPr>
          <w:p w14:paraId="5553F2A1">
            <w:pPr>
              <w:snapToGrid w:val="0"/>
              <w:ind w:firstLine="480" w:firstLineChars="200"/>
              <w:rPr>
                <w:rFonts w:ascii="仿宋" w:hAnsi="仿宋" w:eastAsia="仿宋"/>
                <w:color w:val="auto"/>
                <w:sz w:val="24"/>
                <w:szCs w:val="18"/>
              </w:rPr>
            </w:pPr>
          </w:p>
          <w:p w14:paraId="41B464DC">
            <w:pPr>
              <w:snapToGrid w:val="0"/>
              <w:ind w:firstLine="480" w:firstLineChars="200"/>
              <w:rPr>
                <w:rFonts w:ascii="仿宋" w:hAnsi="仿宋" w:eastAsia="仿宋"/>
                <w:color w:val="auto"/>
                <w:sz w:val="24"/>
                <w:szCs w:val="18"/>
              </w:rPr>
            </w:pPr>
            <w:r>
              <w:rPr>
                <w:rFonts w:hint="eastAsia" w:ascii="仿宋" w:hAnsi="仿宋" w:eastAsia="仿宋"/>
                <w:color w:val="auto"/>
                <w:sz w:val="24"/>
                <w:szCs w:val="18"/>
              </w:rPr>
              <w:t>本人保证以上信息及提交材料的真实性。</w:t>
            </w:r>
          </w:p>
          <w:p w14:paraId="18FB2DE1">
            <w:pPr>
              <w:snapToGrid w:val="0"/>
              <w:ind w:firstLine="480" w:firstLineChars="200"/>
              <w:rPr>
                <w:rFonts w:ascii="仿宋" w:hAnsi="仿宋" w:eastAsia="仿宋"/>
                <w:color w:val="auto"/>
                <w:sz w:val="24"/>
                <w:szCs w:val="18"/>
              </w:rPr>
            </w:pPr>
          </w:p>
          <w:p w14:paraId="565B68DE">
            <w:pPr>
              <w:snapToGrid w:val="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签字：</w:t>
            </w:r>
          </w:p>
          <w:p w14:paraId="6182F4C6">
            <w:pPr>
              <w:snapToGrid w:val="0"/>
              <w:ind w:firstLine="720" w:firstLineChars="30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年    月   日</w:t>
            </w:r>
          </w:p>
        </w:tc>
      </w:tr>
    </w:tbl>
    <w:p w14:paraId="03BE8F4B">
      <w:pPr>
        <w:spacing w:line="520" w:lineRule="exact"/>
        <w:rPr>
          <w:rFonts w:ascii="仿宋" w:hAnsi="仿宋" w:eastAsia="仿宋"/>
          <w:color w:val="auto"/>
          <w:sz w:val="24"/>
          <w:szCs w:val="24"/>
        </w:rPr>
      </w:pPr>
      <w:r>
        <w:rPr>
          <w:rFonts w:ascii="仿宋" w:hAnsi="仿宋" w:eastAsia="仿宋"/>
          <w:color w:val="auto"/>
          <w:sz w:val="24"/>
          <w:szCs w:val="24"/>
        </w:rPr>
        <w:t xml:space="preserve"> （注：</w:t>
      </w:r>
      <w:r>
        <w:rPr>
          <w:rFonts w:hint="eastAsia" w:ascii="仿宋" w:hAnsi="仿宋" w:eastAsia="仿宋"/>
          <w:color w:val="auto"/>
          <w:sz w:val="24"/>
          <w:szCs w:val="24"/>
        </w:rPr>
        <w:t>1.请勿调整表格格式；2.证明材料按照此表顺序附后并装订成册</w:t>
      </w:r>
      <w:r>
        <w:rPr>
          <w:rFonts w:ascii="仿宋" w:hAnsi="仿宋" w:eastAsia="仿宋"/>
          <w:color w:val="auto"/>
          <w:sz w:val="24"/>
          <w:szCs w:val="24"/>
        </w:rPr>
        <w:t>）</w:t>
      </w:r>
    </w:p>
    <w:p w14:paraId="7A86411B">
      <w:pPr>
        <w:rPr>
          <w:rFonts w:hint="default" w:ascii="仿宋" w:hAnsi="仿宋" w:eastAsia="仿宋"/>
          <w:color w:val="auto"/>
          <w:sz w:val="24"/>
          <w:szCs w:val="24"/>
          <w:lang w:val="en-US" w:eastAsia="zh-CN"/>
        </w:rPr>
      </w:pPr>
      <w:bookmarkStart w:id="0" w:name="_GoBack"/>
      <w:bookmarkEnd w:id="0"/>
    </w:p>
    <w:sectPr>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97CBDE-10F4-4A89-9B7F-8FCCBB8B58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A8F6C41-C2AC-4DD0-9773-65487A09684C}"/>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4AF1BD70-6C42-4F6E-AA11-45D6FF2FD8B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0YWY4NzZiOTBmMmY0NTIxOWVlMDE1OWM0MTFiNzAifQ=="/>
  </w:docVars>
  <w:rsids>
    <w:rsidRoot w:val="00105A5D"/>
    <w:rsid w:val="00105A5D"/>
    <w:rsid w:val="001534BF"/>
    <w:rsid w:val="00212123"/>
    <w:rsid w:val="00213D0A"/>
    <w:rsid w:val="00266DB3"/>
    <w:rsid w:val="003669F7"/>
    <w:rsid w:val="003F60FF"/>
    <w:rsid w:val="00583045"/>
    <w:rsid w:val="006930B0"/>
    <w:rsid w:val="006B4578"/>
    <w:rsid w:val="0073293D"/>
    <w:rsid w:val="00755ED9"/>
    <w:rsid w:val="008826C9"/>
    <w:rsid w:val="00912D22"/>
    <w:rsid w:val="00A151C5"/>
    <w:rsid w:val="00B17EEF"/>
    <w:rsid w:val="00C03FC2"/>
    <w:rsid w:val="00C759A3"/>
    <w:rsid w:val="00CB6D49"/>
    <w:rsid w:val="00DC629A"/>
    <w:rsid w:val="00E605DB"/>
    <w:rsid w:val="00EC2D5A"/>
    <w:rsid w:val="00F97ECD"/>
    <w:rsid w:val="00FA4DD0"/>
    <w:rsid w:val="00FD3820"/>
    <w:rsid w:val="02663FE3"/>
    <w:rsid w:val="0333215D"/>
    <w:rsid w:val="103D5A5D"/>
    <w:rsid w:val="11953082"/>
    <w:rsid w:val="16313D60"/>
    <w:rsid w:val="165B4E1E"/>
    <w:rsid w:val="188B43D5"/>
    <w:rsid w:val="1ACF3FB2"/>
    <w:rsid w:val="1B45248B"/>
    <w:rsid w:val="1BE7754E"/>
    <w:rsid w:val="230F57AC"/>
    <w:rsid w:val="245B3079"/>
    <w:rsid w:val="24980833"/>
    <w:rsid w:val="30FE539D"/>
    <w:rsid w:val="375E6E8E"/>
    <w:rsid w:val="3C5F0590"/>
    <w:rsid w:val="3DF14883"/>
    <w:rsid w:val="42A26197"/>
    <w:rsid w:val="47016367"/>
    <w:rsid w:val="4B910F27"/>
    <w:rsid w:val="5516017D"/>
    <w:rsid w:val="62F410A2"/>
    <w:rsid w:val="640E6A16"/>
    <w:rsid w:val="648D138E"/>
    <w:rsid w:val="70B121E3"/>
    <w:rsid w:val="7AE5221C"/>
    <w:rsid w:val="7B5D2B7E"/>
    <w:rsid w:val="7D760E7B"/>
    <w:rsid w:val="7F3D3126"/>
    <w:rsid w:val="7F4F3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 w:type="paragraph" w:customStyle="1" w:styleId="8">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1438</Words>
  <Characters>1479</Characters>
  <Lines>10</Lines>
  <Paragraphs>2</Paragraphs>
  <TotalTime>2</TotalTime>
  <ScaleCrop>false</ScaleCrop>
  <LinksUpToDate>false</LinksUpToDate>
  <CharactersWithSpaces>1566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用户1004</cp:lastModifiedBy>
  <dcterms:modified xsi:type="dcterms:W3CDTF">2025-06-05T03:57:01Z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6DF53A7A52FD4621B756E86C7011F665_13</vt:lpwstr>
  </property>
  <property fmtid="{D5CDD505-2E9C-101B-9397-08002B2CF9AE}" pid="4" name="KSOTemplateDocerSaveRecord">
    <vt:lpwstr>eyJoZGlkIjoiMTMyZmQyMTUyMjI1ODU2Mzg0NjRiZDUxZmFlNWMzYzAiLCJ1c2VySWQiOiIzNDE5ODQ3NDgifQ==</vt:lpwstr>
  </property>
</Properties>
</file>