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F5BA884">
      <w:pPr>
        <w:snapToGrid w:val="0"/>
        <w:spacing w:beforeLines="0" w:afterLines="0" w:line="560" w:lineRule="exact"/>
        <w:jc w:val="right"/>
        <w:rPr>
          <w:rFonts w:ascii="Times New Roman" w:hAnsi="Times New Roman" w:eastAsia="仿宋_GB2312"/>
          <w:color w:val="000000"/>
          <w:sz w:val="32"/>
          <w:szCs w:val="32"/>
        </w:rPr>
      </w:pPr>
      <w:bookmarkStart w:id="0" w:name="_GoBack"/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842645</wp:posOffset>
                </wp:positionV>
                <wp:extent cx="6120130" cy="9040495"/>
                <wp:effectExtent l="0" t="0" r="6350" b="27940"/>
                <wp:wrapNone/>
                <wp:docPr id="7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130" cy="9040495"/>
                          <a:chOff x="6581" y="1608"/>
                          <a:chExt cx="9638" cy="14237"/>
                        </a:xfrm>
                      </wpg:grpSpPr>
                      <wps:wsp>
                        <wps:cNvPr id="1" name="文本框 9"/>
                        <wps:cNvSpPr txBox="1"/>
                        <wps:spPr>
                          <a:xfrm>
                            <a:off x="7062" y="1608"/>
                            <a:ext cx="8641" cy="1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A8B6498">
                              <w:pPr>
                                <w:jc w:val="distribute"/>
                                <w:rPr>
                                  <w:rFonts w:hint="eastAsia" w:ascii="Times New Roman" w:hAnsi="Times New Roman" w:eastAsia="方正小标宋简体" w:cs="Times New Roman"/>
                                  <w:color w:val="auto"/>
                                  <w:sz w:val="28"/>
                                  <w:szCs w:val="28"/>
                                  <w:highlight w:val="none"/>
                                  <w:u w:val="single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方正小标宋简体" w:hAnsi="方正小标宋简体" w:eastAsia="方正小标宋简体" w:cs="方正小标宋简体"/>
                                  <w:b/>
                                  <w:bCs/>
                                  <w:color w:val="FF0000"/>
                                  <w:spacing w:val="0"/>
                                  <w:w w:val="66"/>
                                  <w:sz w:val="90"/>
                                </w:rPr>
                                <w:t>广东省</w:t>
                              </w:r>
                              <w:r>
                                <w:rPr>
                                  <w:rFonts w:hint="eastAsia" w:ascii="方正小标宋简体" w:hAnsi="方正小标宋简体" w:eastAsia="方正小标宋简体" w:cs="方正小标宋简体"/>
                                  <w:b/>
                                  <w:bCs/>
                                  <w:color w:val="FF0000"/>
                                  <w:spacing w:val="0"/>
                                  <w:w w:val="66"/>
                                  <w:sz w:val="90"/>
                                  <w:lang w:eastAsia="zh-CN"/>
                                </w:rPr>
                                <w:t>自学考试委员会</w:t>
                              </w:r>
                            </w:p>
                            <w:p w14:paraId="4D1CEA0B"/>
                          </w:txbxContent>
                        </wps:txbx>
                        <wps:bodyPr vert="horz" wrap="square" anchor="t" anchorCtr="0" upright="1"/>
                      </wps:wsp>
                      <wpg:grpSp>
                        <wpg:cNvPr id="4" name="组合 41"/>
                        <wpg:cNvGrpSpPr/>
                        <wpg:grpSpPr>
                          <a:xfrm>
                            <a:off x="6581" y="3078"/>
                            <a:ext cx="9639" cy="79"/>
                            <a:chOff x="5519" y="3125"/>
                            <a:chExt cx="9639" cy="79"/>
                          </a:xfrm>
                        </wpg:grpSpPr>
                        <wps:wsp>
                          <wps:cNvPr id="2" name="直线 11"/>
                          <wps:cNvCnPr/>
                          <wps:spPr>
                            <a:xfrm>
                              <a:off x="5520" y="3125"/>
                              <a:ext cx="9638" cy="1"/>
                            </a:xfrm>
                            <a:prstGeom prst="line">
                              <a:avLst/>
                            </a:prstGeom>
                            <a:ln w="38100" cap="flat" cmpd="sng">
                              <a:solidFill>
                                <a:srgbClr val="FF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" name="直线 12"/>
                          <wps:cNvCnPr/>
                          <wps:spPr>
                            <a:xfrm>
                              <a:off x="5519" y="3204"/>
                              <a:ext cx="9638" cy="1"/>
                            </a:xfrm>
                            <a:prstGeom prst="line">
                              <a:avLst/>
                            </a:prstGeom>
                            <a:ln w="12700" cap="flat" cmpd="sng">
                              <a:solidFill>
                                <a:srgbClr val="FF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5" name="直线 24"/>
                        <wps:cNvCnPr/>
                        <wps:spPr>
                          <a:xfrm>
                            <a:off x="6581" y="15771"/>
                            <a:ext cx="9638" cy="1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" name="直线 23"/>
                        <wps:cNvCnPr/>
                        <wps:spPr>
                          <a:xfrm>
                            <a:off x="6581" y="15845"/>
                            <a:ext cx="9638" cy="1"/>
                          </a:xfrm>
                          <a:prstGeom prst="line">
                            <a:avLst/>
                          </a:prstGeom>
                          <a:ln w="3810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5" o:spid="_x0000_s1026" o:spt="203" style="position:absolute;left:0pt;margin-left:56.7pt;margin-top:66.35pt;height:711.85pt;width:481.9pt;mso-position-horizontal-relative:page;mso-position-vertical-relative:page;z-index:-251657216;mso-width-relative:page;mso-height-relative:page;" coordorigin="6581,1608" coordsize="9638,14237" o:gfxdata="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">
                <o:lock v:ext="edit" aspectratio="f"/>
                <v:shape id="文本框 9" o:spid="_x0000_s1026" o:spt="202" type="#_x0000_t202" style="position:absolute;left:7062;top:1608;height:1396;width:8641;" filled="f" stroked="f" coordsize="21600,21600" o:gfxdata="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DavkM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A8B6498">
                        <w:pPr>
                          <w:jc w:val="distribute"/>
                          <w:rPr>
                            <w:rFonts w:hint="eastAsia" w:ascii="Times New Roman" w:hAnsi="Times New Roman" w:eastAsia="方正小标宋简体" w:cs="Times New Roman"/>
                            <w:color w:val="auto"/>
                            <w:sz w:val="28"/>
                            <w:szCs w:val="28"/>
                            <w:highlight w:val="none"/>
                            <w:u w:val="single"/>
                            <w:lang w:eastAsia="zh-CN"/>
                          </w:rPr>
                        </w:pPr>
                        <w:r>
                          <w:rPr>
                            <w:rFonts w:hint="eastAsia" w:ascii="方正小标宋简体" w:hAnsi="方正小标宋简体" w:eastAsia="方正小标宋简体" w:cs="方正小标宋简体"/>
                            <w:b/>
                            <w:bCs/>
                            <w:color w:val="FF0000"/>
                            <w:spacing w:val="0"/>
                            <w:w w:val="66"/>
                            <w:sz w:val="90"/>
                          </w:rPr>
                          <w:t>广东省</w:t>
                        </w:r>
                        <w:r>
                          <w:rPr>
                            <w:rFonts w:hint="eastAsia" w:ascii="方正小标宋简体" w:hAnsi="方正小标宋简体" w:eastAsia="方正小标宋简体" w:cs="方正小标宋简体"/>
                            <w:b/>
                            <w:bCs/>
                            <w:color w:val="FF0000"/>
                            <w:spacing w:val="0"/>
                            <w:w w:val="66"/>
                            <w:sz w:val="90"/>
                            <w:lang w:eastAsia="zh-CN"/>
                          </w:rPr>
                          <w:t>自学考试委员会</w:t>
                        </w:r>
                      </w:p>
                      <w:p w14:paraId="4D1CEA0B"/>
                    </w:txbxContent>
                  </v:textbox>
                </v:shape>
                <v:group id="组合 41" o:spid="_x0000_s1026" o:spt="203" style="position:absolute;left:6581;top:3078;height:79;width:9639;" coordorigin="5519,3125" coordsize="9639,79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<o:lock v:ext="edit" aspectratio="f"/>
                  <v:line id="直线 11" o:spid="_x0000_s1026" o:spt="20" style="position:absolute;left:5520;top:3125;height:1;width:9638;" filled="f" stroked="t" coordsize="21600,21600" o:gfxdata="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V5pI6/&#10;AAAA2gAAAA8AAAAAAAAAAQAgAAAAIgAAAGRycy9kb3ducmV2LnhtbFBLAQIUABQAAAAIAIdO4kAz&#10;LwWeOwAAADkAAAAQAAAAAAAAAAEAIAAAAA4BAABkcnMvc2hhcGV4bWwueG1sUEsFBgAAAAAGAAYA&#10;WwEAALgDAAAAAA==&#10;">
                    <v:fill on="f" focussize="0,0"/>
                    <v:stroke weight="3pt" color="#FF0000" joinstyle="round"/>
                    <v:imagedata o:title=""/>
                    <o:lock v:ext="edit" aspectratio="f"/>
                  </v:line>
                  <v:line id="直线 12" o:spid="_x0000_s1026" o:spt="20" style="position:absolute;left:5519;top:3204;height:1;width:9638;" filled="f" stroked="t" coordsize="21600,21600" o:gfxdata="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Qj+lr4A&#10;AADa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FF0000" joinstyle="round"/>
                    <v:imagedata o:title=""/>
                    <o:lock v:ext="edit" aspectratio="f"/>
                  </v:line>
                </v:group>
                <v:line id="直线 24" o:spid="_x0000_s1026" o:spt="20" style="position:absolute;left:6581;top:15771;height:1;width:9638;" filled="f" stroked="t" coordsize="21600,21600" o:gfxdata="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a3Deb4A&#10;AADaAAAADwAAAAAAAAABACAAAAAiAAAAZHJzL2Rvd25yZXYueG1sUEsBAhQAFAAAAAgAh07iQDMv&#10;BZ47AAAAOQAAABAAAAAAAAAAAQAgAAAADQEAAGRycy9zaGFwZXhtbC54bWxQSwUGAAAAAAYABgBb&#10;AQAAtwMAAAAA&#10;">
                  <v:fill on="f" focussize="0,0"/>
                  <v:stroke weight="1pt" color="#FF0000" joinstyle="round"/>
                  <v:imagedata o:title=""/>
                  <o:lock v:ext="edit" aspectratio="f"/>
                </v:line>
                <v:line id="直线 23" o:spid="_x0000_s1026" o:spt="20" style="position:absolute;left:6581;top:15845;height:1;width:9638;" filled="f" stroked="t" coordsize="21600,21600" o:gfxdata="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kKijb4A&#10;AADaAAAADwAAAAAAAAABACAAAAAiAAAAZHJzL2Rvd25yZXYueG1sUEsBAhQAFAAAAAgAh07iQDMv&#10;BZ47AAAAOQAAABAAAAAAAAAAAQAgAAAADQEAAGRycy9zaGFwZXhtbC54bWxQSwUGAAAAAAYABgBb&#10;AQAAtwMAAAAA&#10;">
                  <v:fill on="f" focussize="0,0"/>
                  <v:stroke weight="3pt" color="#FF0000" joinstyle="round"/>
                  <v:imagedata o:title=""/>
                  <o:lock v:ext="edit" aspectratio="f"/>
                </v:line>
                <w10:anchorlock/>
              </v:group>
            </w:pict>
          </mc:Fallback>
        </mc:AlternateContent>
      </w:r>
    </w:p>
    <w:p w14:paraId="04483AC8">
      <w:pPr>
        <w:snapToGrid w:val="0"/>
        <w:spacing w:beforeLines="0" w:afterLines="0" w:line="560" w:lineRule="exact"/>
        <w:jc w:val="right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5C343E88">
      <w:pPr>
        <w:snapToGrid w:val="0"/>
        <w:spacing w:beforeLines="0" w:afterLines="0" w:line="560" w:lineRule="exact"/>
        <w:jc w:val="right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50D18580">
      <w:pPr>
        <w:snapToGrid w:val="0"/>
        <w:spacing w:beforeLines="0" w:afterLines="0" w:line="520" w:lineRule="exact"/>
        <w:jc w:val="right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粤考委〔202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6</w:t>
      </w:r>
      <w:r>
        <w:rPr>
          <w:rFonts w:ascii="Times New Roman" w:hAnsi="Times New Roman" w:eastAsia="仿宋_GB2312"/>
          <w:color w:val="000000"/>
          <w:sz w:val="32"/>
          <w:szCs w:val="32"/>
        </w:rPr>
        <w:t>〕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4</w:t>
      </w:r>
      <w:r>
        <w:rPr>
          <w:rFonts w:ascii="Times New Roman" w:hAnsi="Times New Roman" w:eastAsia="仿宋_GB2312"/>
          <w:color w:val="000000"/>
          <w:sz w:val="32"/>
          <w:szCs w:val="32"/>
        </w:rPr>
        <w:t>号</w:t>
      </w:r>
    </w:p>
    <w:p w14:paraId="730E0576">
      <w:pPr>
        <w:snapToGrid w:val="0"/>
        <w:spacing w:beforeLines="0" w:afterLines="0" w:line="520" w:lineRule="exact"/>
        <w:jc w:val="center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729666FB">
      <w:pPr>
        <w:adjustRightInd w:val="0"/>
        <w:snapToGrid w:val="0"/>
        <w:spacing w:beforeLines="0" w:afterLines="0" w:line="520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/>
          <w:color w:val="000000"/>
          <w:sz w:val="44"/>
          <w:szCs w:val="44"/>
        </w:rPr>
        <w:t>关于调整我省高等教育</w:t>
      </w:r>
      <w:r>
        <w:rPr>
          <w:rFonts w:ascii="Times New Roman" w:hAnsi="Times New Roman" w:eastAsia="方正小标宋简体"/>
          <w:color w:val="000000"/>
          <w:sz w:val="44"/>
          <w:szCs w:val="44"/>
        </w:rPr>
        <w:t>自学考试</w:t>
      </w:r>
    </w:p>
    <w:p w14:paraId="3FF28BC6">
      <w:pPr>
        <w:adjustRightInd w:val="0"/>
        <w:snapToGrid w:val="0"/>
        <w:spacing w:beforeLines="0" w:afterLines="0" w:line="520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/>
          <w:color w:val="000000"/>
          <w:sz w:val="44"/>
          <w:szCs w:val="44"/>
        </w:rPr>
        <w:t>部分</w:t>
      </w:r>
      <w:r>
        <w:rPr>
          <w:rFonts w:ascii="Times New Roman" w:hAnsi="Times New Roman" w:eastAsia="方正小标宋简体"/>
          <w:color w:val="000000"/>
          <w:sz w:val="44"/>
          <w:szCs w:val="44"/>
        </w:rPr>
        <w:t>专业主考学校的通知</w:t>
      </w:r>
    </w:p>
    <w:p w14:paraId="4BB40507">
      <w:pPr>
        <w:snapToGrid w:val="0"/>
        <w:spacing w:beforeLines="0" w:afterLines="0" w:line="520" w:lineRule="exact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03ACA2DC">
      <w:pPr>
        <w:snapToGrid w:val="0"/>
        <w:spacing w:beforeLines="0" w:afterLines="0" w:line="520" w:lineRule="exact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各</w:t>
      </w:r>
      <w:r>
        <w:rPr>
          <w:rFonts w:ascii="Times New Roman" w:hAnsi="Times New Roman" w:eastAsia="仿宋_GB2312"/>
          <w:color w:val="000000"/>
          <w:sz w:val="32"/>
          <w:szCs w:val="32"/>
        </w:rPr>
        <w:t>地级以上市自学考试工作委员会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，</w:t>
      </w:r>
      <w:r>
        <w:rPr>
          <w:rFonts w:ascii="Times New Roman" w:hAnsi="Times New Roman" w:eastAsia="仿宋_GB2312"/>
          <w:color w:val="000000"/>
          <w:sz w:val="32"/>
          <w:szCs w:val="32"/>
        </w:rPr>
        <w:t>各有关主考学校：</w:t>
      </w:r>
    </w:p>
    <w:p w14:paraId="6113F0E3">
      <w:pPr>
        <w:adjustRightInd w:val="0"/>
        <w:snapToGrid w:val="0"/>
        <w:spacing w:beforeLines="0" w:afterLines="0" w:line="52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为推进我省自学考试专业建设，进一步优化主考学校分布及构成，促进自学考试健康发展，根据《高等教育自学考试暂行条例》《广东省自学考试实施细则》《高等教育自学考试专业设置实施细则</w:t>
      </w:r>
      <w:r>
        <w:rPr>
          <w:rFonts w:hint="eastAsia" w:ascii="Times New Roman" w:hAnsi="Times New Roman" w:eastAsia="仿宋_GB2312"/>
          <w:sz w:val="32"/>
          <w:szCs w:val="32"/>
        </w:rPr>
        <w:t>》等</w:t>
      </w:r>
      <w:r>
        <w:rPr>
          <w:rFonts w:ascii="Times New Roman" w:hAnsi="Times New Roman" w:eastAsia="仿宋_GB2312"/>
          <w:sz w:val="32"/>
          <w:szCs w:val="32"/>
        </w:rPr>
        <w:t>相关规定，</w:t>
      </w:r>
      <w:r>
        <w:rPr>
          <w:rFonts w:hint="eastAsia" w:ascii="Times New Roman" w:hAnsi="Times New Roman" w:eastAsia="仿宋_GB2312"/>
          <w:sz w:val="32"/>
          <w:szCs w:val="32"/>
        </w:rPr>
        <w:t>以及</w:t>
      </w:r>
      <w:r>
        <w:rPr>
          <w:rFonts w:ascii="Times New Roman" w:hAnsi="Times New Roman" w:eastAsia="仿宋_GB2312"/>
          <w:color w:val="000000"/>
          <w:sz w:val="32"/>
          <w:szCs w:val="32"/>
        </w:rPr>
        <w:t>《广东省学士学位授权与授予管理实施细则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》等</w:t>
      </w:r>
      <w:r>
        <w:rPr>
          <w:rFonts w:ascii="Times New Roman" w:hAnsi="Times New Roman" w:eastAsia="仿宋_GB2312"/>
          <w:color w:val="000000"/>
          <w:sz w:val="32"/>
          <w:szCs w:val="32"/>
        </w:rPr>
        <w:t>相关精神，</w:t>
      </w:r>
      <w:r>
        <w:rPr>
          <w:rFonts w:ascii="Times New Roman" w:hAnsi="Times New Roman" w:eastAsia="仿宋_GB2312"/>
          <w:sz w:val="32"/>
          <w:szCs w:val="32"/>
        </w:rPr>
        <w:t>结合我省自学考试专业开考实际</w:t>
      </w:r>
      <w:r>
        <w:rPr>
          <w:rFonts w:hint="eastAsia" w:ascii="Times New Roman" w:hAnsi="Times New Roman" w:eastAsia="仿宋_GB2312"/>
          <w:sz w:val="32"/>
          <w:szCs w:val="32"/>
        </w:rPr>
        <w:t>与各</w:t>
      </w:r>
      <w:r>
        <w:rPr>
          <w:rFonts w:ascii="Times New Roman" w:hAnsi="Times New Roman" w:eastAsia="仿宋_GB2312"/>
          <w:color w:val="000000"/>
          <w:sz w:val="32"/>
          <w:szCs w:val="32"/>
        </w:rPr>
        <w:t>主考学校202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6</w:t>
      </w:r>
      <w:r>
        <w:rPr>
          <w:rFonts w:ascii="Times New Roman" w:hAnsi="Times New Roman" w:eastAsia="仿宋_GB2312"/>
          <w:color w:val="000000"/>
          <w:sz w:val="32"/>
          <w:szCs w:val="32"/>
        </w:rPr>
        <w:t>年普通高等学校招生专业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等</w:t>
      </w:r>
      <w:r>
        <w:rPr>
          <w:rFonts w:ascii="Times New Roman" w:hAnsi="Times New Roman" w:eastAsia="仿宋_GB2312"/>
          <w:color w:val="000000"/>
          <w:sz w:val="32"/>
          <w:szCs w:val="32"/>
        </w:rPr>
        <w:t>情况，</w:t>
      </w:r>
      <w:r>
        <w:rPr>
          <w:rFonts w:ascii="Times New Roman" w:hAnsi="Times New Roman" w:eastAsia="仿宋_GB2312"/>
          <w:sz w:val="32"/>
          <w:szCs w:val="32"/>
        </w:rPr>
        <w:t>决定对</w:t>
      </w:r>
      <w:r>
        <w:rPr>
          <w:rFonts w:hint="eastAsia" w:ascii="Times New Roman" w:hAnsi="Times New Roman" w:eastAsia="仿宋_GB2312"/>
          <w:sz w:val="32"/>
          <w:szCs w:val="32"/>
        </w:rPr>
        <w:t>广告学</w:t>
      </w:r>
      <w:r>
        <w:rPr>
          <w:rFonts w:ascii="Times New Roman" w:hAnsi="Times New Roman" w:eastAsia="仿宋_GB2312"/>
          <w:sz w:val="32"/>
          <w:szCs w:val="32"/>
        </w:rPr>
        <w:t>等</w:t>
      </w:r>
      <w:r>
        <w:rPr>
          <w:rFonts w:hint="eastAsia" w:ascii="Times New Roman" w:hAnsi="Times New Roman" w:eastAsia="仿宋_GB2312"/>
          <w:sz w:val="32"/>
          <w:szCs w:val="32"/>
        </w:rPr>
        <w:t>多个</w:t>
      </w:r>
      <w:r>
        <w:rPr>
          <w:rFonts w:ascii="Times New Roman" w:hAnsi="Times New Roman" w:eastAsia="仿宋_GB2312"/>
          <w:sz w:val="32"/>
          <w:szCs w:val="32"/>
        </w:rPr>
        <w:t>专业</w:t>
      </w:r>
      <w:r>
        <w:rPr>
          <w:rFonts w:hint="eastAsia" w:ascii="Times New Roman" w:hAnsi="Times New Roman" w:eastAsia="仿宋_GB2312"/>
          <w:sz w:val="32"/>
          <w:szCs w:val="32"/>
        </w:rPr>
        <w:t>的</w:t>
      </w:r>
      <w:r>
        <w:rPr>
          <w:rFonts w:ascii="Times New Roman" w:hAnsi="Times New Roman" w:eastAsia="仿宋_GB2312"/>
          <w:sz w:val="32"/>
          <w:szCs w:val="32"/>
        </w:rPr>
        <w:t>主考学校</w:t>
      </w:r>
      <w:r>
        <w:rPr>
          <w:rFonts w:hint="eastAsia" w:ascii="Times New Roman" w:hAnsi="Times New Roman" w:eastAsia="仿宋_GB2312"/>
          <w:sz w:val="32"/>
          <w:szCs w:val="32"/>
        </w:rPr>
        <w:t>进行调整</w:t>
      </w:r>
      <w:r>
        <w:rPr>
          <w:rFonts w:ascii="Times New Roman" w:hAnsi="Times New Roman" w:eastAsia="仿宋_GB2312"/>
          <w:sz w:val="32"/>
          <w:szCs w:val="32"/>
        </w:rPr>
        <w:t>，</w:t>
      </w:r>
      <w:r>
        <w:rPr>
          <w:rFonts w:ascii="Times New Roman" w:hAnsi="Times New Roman" w:eastAsia="仿宋_GB2312"/>
          <w:color w:val="000000"/>
          <w:sz w:val="32"/>
          <w:szCs w:val="32"/>
        </w:rPr>
        <w:t>现将有关事项通知如下：</w:t>
      </w:r>
    </w:p>
    <w:p w14:paraId="61354530">
      <w:pPr>
        <w:numPr>
          <w:ilvl w:val="0"/>
          <w:numId w:val="1"/>
        </w:numPr>
        <w:adjustRightInd w:val="0"/>
        <w:snapToGrid w:val="0"/>
        <w:spacing w:beforeLines="0" w:afterLines="0" w:line="520" w:lineRule="exact"/>
        <w:ind w:firstLine="600" w:firstLineChars="200"/>
        <w:rPr>
          <w:rFonts w:hint="eastAsia" w:ascii="黑体" w:hAnsi="黑体" w:eastAsia="黑体" w:cs="黑体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color w:val="000000"/>
          <w:sz w:val="30"/>
          <w:szCs w:val="30"/>
        </w:rPr>
        <w:t>增加主考学校</w:t>
      </w:r>
    </w:p>
    <w:p w14:paraId="711C678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beforeLines="0" w:after="160" w:afterLines="0" w:line="520" w:lineRule="exact"/>
        <w:ind w:left="0"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各专业增加主考学校情况详见附件1。各校</w:t>
      </w:r>
      <w:r>
        <w:rPr>
          <w:rFonts w:ascii="Times New Roman" w:hAnsi="Times New Roman" w:eastAsia="仿宋_GB2312"/>
          <w:sz w:val="32"/>
          <w:szCs w:val="32"/>
        </w:rPr>
        <w:t>要认真贯彻落实高等教育自学考试有关方针政策和文件规定要求，严格规范管理，积极主动开展自学考试主考工作，认真负责做好实践性学习环节考核，确保自学考试质量。</w:t>
      </w:r>
      <w:r>
        <w:rPr>
          <w:rFonts w:ascii="Times New Roman" w:hAnsi="Times New Roman" w:eastAsia="仿宋_GB2312"/>
          <w:color w:val="000000"/>
          <w:sz w:val="32"/>
          <w:szCs w:val="32"/>
        </w:rPr>
        <w:t xml:space="preserve">严格按照学位管理部门规定，做好相应专业学位授予相关政策的宣传、解释等工作。 </w:t>
      </w:r>
    </w:p>
    <w:p w14:paraId="60DD4AF4">
      <w:pPr>
        <w:numPr>
          <w:ilvl w:val="0"/>
          <w:numId w:val="1"/>
        </w:numPr>
        <w:adjustRightInd w:val="0"/>
        <w:snapToGrid w:val="0"/>
        <w:spacing w:beforeLines="0" w:afterLines="0" w:line="520" w:lineRule="exact"/>
        <w:ind w:firstLine="600" w:firstLineChars="200"/>
        <w:rPr>
          <w:rFonts w:hint="eastAsia" w:ascii="黑体" w:hAnsi="黑体" w:eastAsia="黑体" w:cs="黑体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color w:val="000000"/>
          <w:sz w:val="30"/>
          <w:szCs w:val="30"/>
        </w:rPr>
        <w:t>退出主考专业</w:t>
      </w:r>
    </w:p>
    <w:p w14:paraId="03AB1DC0">
      <w:pPr>
        <w:numPr>
          <w:ilvl w:val="0"/>
          <w:numId w:val="0"/>
        </w:numPr>
        <w:adjustRightInd w:val="0"/>
        <w:snapToGrid w:val="0"/>
        <w:spacing w:beforeLines="0" w:afterLines="0" w:line="520" w:lineRule="exact"/>
        <w:ind w:left="0"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不再担任相关专业主考学校（退出专业主考）情况详见附件2。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为平稳过渡，退出专业主考设置收尾</w:t>
      </w:r>
      <w:r>
        <w:rPr>
          <w:rFonts w:ascii="Times New Roman" w:hAnsi="Times New Roman" w:eastAsia="仿宋_GB2312"/>
          <w:color w:val="000000"/>
          <w:sz w:val="32"/>
          <w:szCs w:val="32"/>
        </w:rPr>
        <w:t>过渡期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，具体时间安排如下：</w:t>
      </w:r>
    </w:p>
    <w:p w14:paraId="2A3C9A5D">
      <w:pPr>
        <w:numPr>
          <w:ilvl w:val="0"/>
          <w:numId w:val="2"/>
        </w:numPr>
        <w:adjustRightInd w:val="0"/>
        <w:snapToGrid w:val="0"/>
        <w:spacing w:beforeLines="0" w:afterLines="0" w:line="520" w:lineRule="exact"/>
        <w:ind w:left="0" w:leftChars="0"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自</w:t>
      </w:r>
      <w:r>
        <w:rPr>
          <w:rFonts w:ascii="Times New Roman" w:hAnsi="Times New Roman" w:eastAsia="仿宋_GB2312"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6</w:t>
      </w:r>
      <w:r>
        <w:rPr>
          <w:rFonts w:ascii="Times New Roman" w:hAnsi="Times New Roman" w:eastAsia="仿宋_GB2312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10</w:t>
      </w:r>
      <w:r>
        <w:rPr>
          <w:rFonts w:ascii="Times New Roman" w:hAnsi="Times New Roman" w:eastAsia="仿宋_GB2312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考试</w:t>
      </w:r>
      <w:r>
        <w:rPr>
          <w:rFonts w:ascii="Times New Roman" w:hAnsi="Times New Roman" w:eastAsia="仿宋_GB2312"/>
          <w:color w:val="000000"/>
          <w:sz w:val="32"/>
          <w:szCs w:val="32"/>
        </w:rPr>
        <w:t>起，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退出</w:t>
      </w:r>
      <w:r>
        <w:rPr>
          <w:rFonts w:ascii="Times New Roman" w:hAnsi="Times New Roman" w:eastAsia="仿宋_GB2312"/>
          <w:color w:val="000000"/>
          <w:sz w:val="32"/>
          <w:szCs w:val="32"/>
        </w:rPr>
        <w:t>专业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主考的高校，</w:t>
      </w:r>
      <w:r>
        <w:rPr>
          <w:rFonts w:ascii="Times New Roman" w:hAnsi="Times New Roman" w:eastAsia="仿宋_GB2312"/>
          <w:color w:val="000000"/>
          <w:sz w:val="32"/>
          <w:szCs w:val="32"/>
        </w:rPr>
        <w:t>不再接受新生报名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。</w:t>
      </w:r>
    </w:p>
    <w:p w14:paraId="7CD5F9B4">
      <w:pPr>
        <w:numPr>
          <w:ilvl w:val="0"/>
          <w:numId w:val="2"/>
        </w:numPr>
        <w:adjustRightInd w:val="0"/>
        <w:snapToGrid w:val="0"/>
        <w:spacing w:beforeLines="0" w:afterLines="0" w:line="520" w:lineRule="exact"/>
        <w:ind w:left="0" w:leftChars="0"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实践性学习环节考核（含毕业论文）在202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9</w:t>
      </w:r>
      <w:r>
        <w:rPr>
          <w:rFonts w:ascii="Times New Roman" w:hAnsi="Times New Roman" w:eastAsia="仿宋_GB2312"/>
          <w:color w:val="000000"/>
          <w:sz w:val="32"/>
          <w:szCs w:val="32"/>
        </w:rPr>
        <w:t>年10月前完成。</w:t>
      </w:r>
    </w:p>
    <w:p w14:paraId="1327223A">
      <w:pPr>
        <w:numPr>
          <w:ilvl w:val="0"/>
          <w:numId w:val="2"/>
        </w:numPr>
        <w:adjustRightInd w:val="0"/>
        <w:snapToGrid w:val="0"/>
        <w:spacing w:beforeLines="0" w:afterLines="0" w:line="520" w:lineRule="exact"/>
        <w:ind w:left="0" w:leftChars="0"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毕业手续办理至202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9</w:t>
      </w:r>
      <w:r>
        <w:rPr>
          <w:rFonts w:ascii="Times New Roman" w:hAnsi="Times New Roman" w:eastAsia="仿宋_GB2312"/>
          <w:color w:val="000000"/>
          <w:sz w:val="32"/>
          <w:szCs w:val="32"/>
        </w:rPr>
        <w:t>年12月。</w:t>
      </w:r>
    </w:p>
    <w:p w14:paraId="4B20F728">
      <w:pPr>
        <w:numPr>
          <w:ilvl w:val="0"/>
          <w:numId w:val="1"/>
        </w:numPr>
        <w:adjustRightInd w:val="0"/>
        <w:snapToGrid w:val="0"/>
        <w:spacing w:beforeLines="0" w:afterLines="0" w:line="520" w:lineRule="exact"/>
        <w:ind w:firstLine="600" w:firstLineChars="200"/>
        <w:rPr>
          <w:rFonts w:hint="eastAsia" w:ascii="黑体" w:hAnsi="黑体" w:eastAsia="黑体" w:cs="黑体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color w:val="000000"/>
          <w:sz w:val="30"/>
          <w:szCs w:val="30"/>
        </w:rPr>
        <w:t>其他事项</w:t>
      </w:r>
    </w:p>
    <w:p w14:paraId="15C39CC0">
      <w:pPr>
        <w:numPr>
          <w:ilvl w:val="0"/>
          <w:numId w:val="0"/>
        </w:numPr>
        <w:adjustRightInd w:val="0"/>
        <w:snapToGrid w:val="0"/>
        <w:spacing w:beforeLines="0" w:afterLines="0" w:line="520" w:lineRule="exact"/>
        <w:ind w:left="0"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过渡期内，相关高校仍</w:t>
      </w:r>
      <w:r>
        <w:rPr>
          <w:rFonts w:ascii="Times New Roman" w:hAnsi="Times New Roman" w:eastAsia="仿宋_GB2312"/>
          <w:color w:val="000000"/>
          <w:sz w:val="32"/>
          <w:szCs w:val="32"/>
        </w:rPr>
        <w:t>须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认真</w:t>
      </w:r>
      <w:r>
        <w:rPr>
          <w:rFonts w:ascii="Times New Roman" w:hAnsi="Times New Roman" w:eastAsia="仿宋_GB2312"/>
          <w:color w:val="000000"/>
          <w:sz w:val="32"/>
          <w:szCs w:val="32"/>
        </w:rPr>
        <w:t>履行主考学校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有</w:t>
      </w:r>
      <w:r>
        <w:rPr>
          <w:rFonts w:ascii="Times New Roman" w:hAnsi="Times New Roman" w:eastAsia="仿宋_GB2312"/>
          <w:color w:val="000000"/>
          <w:sz w:val="32"/>
          <w:szCs w:val="32"/>
        </w:rPr>
        <w:t>关职责，及时公布收尾过渡期相关工作安排，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统筹</w:t>
      </w:r>
      <w:r>
        <w:rPr>
          <w:rFonts w:ascii="Times New Roman" w:hAnsi="Times New Roman" w:eastAsia="仿宋_GB2312"/>
          <w:color w:val="000000"/>
          <w:sz w:val="32"/>
          <w:szCs w:val="32"/>
        </w:rPr>
        <w:t>做好</w:t>
      </w:r>
      <w:r>
        <w:rPr>
          <w:rFonts w:hint="eastAsia" w:ascii="仿宋_GB2312" w:hAnsi="Times New Roman" w:eastAsia="仿宋_GB2312" w:cs="仿宋_GB2312"/>
          <w:color w:val="000000"/>
          <w:sz w:val="31"/>
          <w:szCs w:val="31"/>
          <w:shd w:val="clear" w:color="auto" w:fill="FFFFFF"/>
        </w:rPr>
        <w:t>实践性学习环节考核</w:t>
      </w:r>
      <w:r>
        <w:rPr>
          <w:rFonts w:ascii="Times New Roman" w:hAnsi="Times New Roman" w:eastAsia="仿宋_GB2312"/>
          <w:color w:val="000000"/>
          <w:sz w:val="32"/>
          <w:szCs w:val="32"/>
        </w:rPr>
        <w:t>、毕业办理、咨询服务等收尾工作，确保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平稳顺利过渡</w:t>
      </w:r>
      <w:r>
        <w:rPr>
          <w:rFonts w:ascii="Times New Roman" w:hAnsi="Times New Roman" w:eastAsia="仿宋_GB2312"/>
          <w:color w:val="000000"/>
          <w:sz w:val="32"/>
          <w:szCs w:val="32"/>
        </w:rPr>
        <w:t>。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同时须</w:t>
      </w:r>
      <w:r>
        <w:rPr>
          <w:rFonts w:ascii="Times New Roman" w:hAnsi="Times New Roman" w:eastAsia="仿宋_GB2312"/>
          <w:color w:val="000000"/>
          <w:sz w:val="32"/>
          <w:szCs w:val="32"/>
        </w:rPr>
        <w:t>严格按照学位管理部门规定，做好相应专业学位授予相关政策的宣传、解释等工作。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 xml:space="preserve"> </w:t>
      </w:r>
    </w:p>
    <w:p w14:paraId="09D1A3AB">
      <w:pPr>
        <w:adjustRightInd w:val="0"/>
        <w:snapToGrid w:val="0"/>
        <w:spacing w:beforeLines="0" w:afterLines="0" w:line="520" w:lineRule="exact"/>
        <w:ind w:left="0" w:leftChars="0" w:firstLine="0" w:firstLineChars="0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66CAEBE6">
      <w:pPr>
        <w:numPr>
          <w:ilvl w:val="0"/>
          <w:numId w:val="0"/>
        </w:numPr>
        <w:tabs>
          <w:tab w:val="left" w:pos="312"/>
        </w:tabs>
        <w:adjustRightInd w:val="0"/>
        <w:snapToGrid w:val="0"/>
        <w:spacing w:beforeLines="0" w:afterLines="0" w:line="520" w:lineRule="exact"/>
        <w:ind w:left="0" w:leftChars="0" w:firstLine="572" w:firstLineChars="179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附件：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1.</w:t>
      </w:r>
      <w:r>
        <w:rPr>
          <w:rFonts w:ascii="Times New Roman" w:hAnsi="Times New Roman" w:eastAsia="仿宋_GB2312"/>
          <w:color w:val="000000"/>
          <w:sz w:val="32"/>
          <w:szCs w:val="32"/>
        </w:rPr>
        <w:t>广东省高等教育自学考试部分专业增加主考学校列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 xml:space="preserve">    </w:t>
      </w:r>
    </w:p>
    <w:p w14:paraId="59B106B9">
      <w:pPr>
        <w:numPr>
          <w:ilvl w:val="0"/>
          <w:numId w:val="0"/>
        </w:numPr>
        <w:tabs>
          <w:tab w:val="left" w:pos="312"/>
        </w:tabs>
        <w:adjustRightInd w:val="0"/>
        <w:snapToGrid w:val="0"/>
        <w:spacing w:beforeLines="0" w:afterLines="0" w:line="520" w:lineRule="exact"/>
        <w:ind w:left="0" w:leftChars="0" w:firstLine="572" w:firstLineChars="179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 xml:space="preserve">       </w:t>
      </w:r>
      <w:r>
        <w:rPr>
          <w:rFonts w:ascii="Times New Roman" w:hAnsi="Times New Roman" w:eastAsia="仿宋_GB2312"/>
          <w:color w:val="000000"/>
          <w:sz w:val="32"/>
          <w:szCs w:val="32"/>
        </w:rPr>
        <w:t>表</w:t>
      </w:r>
    </w:p>
    <w:p w14:paraId="694FD2A8">
      <w:pPr>
        <w:numPr>
          <w:ilvl w:val="0"/>
          <w:numId w:val="0"/>
        </w:numPr>
        <w:tabs>
          <w:tab w:val="left" w:pos="312"/>
        </w:tabs>
        <w:adjustRightInd w:val="0"/>
        <w:snapToGrid w:val="0"/>
        <w:spacing w:beforeLines="0" w:afterLines="0" w:line="520" w:lineRule="exact"/>
        <w:ind w:left="0" w:leftChars="0" w:firstLine="572" w:firstLineChars="179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 xml:space="preserve">      2.</w:t>
      </w:r>
      <w:r>
        <w:rPr>
          <w:rFonts w:ascii="Times New Roman" w:hAnsi="Times New Roman" w:eastAsia="仿宋_GB2312"/>
          <w:color w:val="000000"/>
          <w:sz w:val="32"/>
          <w:szCs w:val="32"/>
        </w:rPr>
        <w:t>广东省高等教育自学考试部分专业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退出</w:t>
      </w:r>
      <w:r>
        <w:rPr>
          <w:rFonts w:ascii="Times New Roman" w:hAnsi="Times New Roman" w:eastAsia="仿宋_GB2312"/>
          <w:color w:val="000000"/>
          <w:sz w:val="32"/>
          <w:szCs w:val="32"/>
        </w:rPr>
        <w:t>主考学校列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 xml:space="preserve">    </w:t>
      </w:r>
    </w:p>
    <w:p w14:paraId="0C9704CB">
      <w:pPr>
        <w:numPr>
          <w:ilvl w:val="0"/>
          <w:numId w:val="0"/>
        </w:numPr>
        <w:tabs>
          <w:tab w:val="left" w:pos="312"/>
        </w:tabs>
        <w:adjustRightInd w:val="0"/>
        <w:snapToGrid w:val="0"/>
        <w:spacing w:beforeLines="0" w:afterLines="0" w:line="520" w:lineRule="exact"/>
        <w:ind w:left="0" w:leftChars="0" w:firstLine="572" w:firstLineChars="179"/>
        <w:rPr>
          <w:szCs w:val="2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 xml:space="preserve">       </w:t>
      </w:r>
      <w:r>
        <w:rPr>
          <w:rFonts w:ascii="Times New Roman" w:hAnsi="Times New Roman" w:eastAsia="仿宋_GB2312"/>
          <w:color w:val="000000"/>
          <w:sz w:val="32"/>
          <w:szCs w:val="32"/>
        </w:rPr>
        <w:t>表</w:t>
      </w:r>
    </w:p>
    <w:p w14:paraId="284DC912">
      <w:pPr>
        <w:snapToGrid w:val="0"/>
        <w:spacing w:beforeLines="0" w:afterLines="0" w:line="520" w:lineRule="exact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22DC3D1F">
      <w:pPr>
        <w:snapToGrid w:val="0"/>
        <w:spacing w:beforeLines="0" w:afterLines="0" w:line="520" w:lineRule="exact"/>
        <w:ind w:firstLine="4800" w:firstLineChars="1500"/>
        <w:rPr>
          <w:rFonts w:ascii="Times New Roman" w:hAnsi="Times New Roman" w:eastAsia="仿宋_GB2312"/>
          <w:color w:val="000000"/>
          <w:sz w:val="32"/>
          <w:szCs w:val="32"/>
        </w:rPr>
      </w:pPr>
    </w:p>
    <w:p w14:paraId="06E7D389">
      <w:pPr>
        <w:snapToGrid w:val="0"/>
        <w:spacing w:beforeLines="0" w:afterLines="0" w:line="520" w:lineRule="exact"/>
        <w:ind w:firstLine="4800" w:firstLineChars="15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广东省自学考试委员会</w:t>
      </w:r>
    </w:p>
    <w:p w14:paraId="2432CA45">
      <w:pPr>
        <w:adjustRightInd w:val="0"/>
        <w:snapToGrid w:val="0"/>
        <w:spacing w:beforeLines="0" w:afterLines="0" w:line="520" w:lineRule="exact"/>
        <w:ind w:right="1260" w:rightChars="600" w:firstLine="0" w:firstLineChars="0"/>
        <w:jc w:val="right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6</w:t>
      </w:r>
      <w:r>
        <w:rPr>
          <w:rFonts w:ascii="Times New Roman" w:hAnsi="Times New Roman" w:eastAsia="仿宋_GB2312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8</w:t>
      </w:r>
      <w:r>
        <w:rPr>
          <w:rFonts w:ascii="Times New Roman" w:hAnsi="Times New Roman" w:eastAsia="仿宋_GB2312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1</w:t>
      </w:r>
      <w:r>
        <w:rPr>
          <w:rFonts w:ascii="Times New Roman" w:hAnsi="Times New Roman" w:eastAsia="仿宋_GB2312"/>
          <w:color w:val="000000"/>
          <w:sz w:val="32"/>
          <w:szCs w:val="32"/>
        </w:rPr>
        <w:t>日</w:t>
      </w:r>
    </w:p>
    <w:p w14:paraId="7D28BC03">
      <w:pPr>
        <w:snapToGrid w:val="0"/>
        <w:spacing w:beforeLines="0" w:afterLines="0" w:line="560" w:lineRule="exact"/>
        <w:rPr>
          <w:rFonts w:ascii="Times New Roman" w:hAnsi="Times New Roman" w:eastAsia="黑体"/>
          <w:bCs/>
          <w:color w:val="000000"/>
          <w:sz w:val="32"/>
          <w:szCs w:val="32"/>
        </w:rPr>
      </w:pPr>
    </w:p>
    <w:p w14:paraId="6FBA81EA">
      <w:pPr>
        <w:snapToGrid w:val="0"/>
        <w:spacing w:beforeLines="0" w:afterLines="0" w:line="560" w:lineRule="exact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黑体"/>
          <w:bCs/>
          <w:color w:val="000000"/>
          <w:sz w:val="32"/>
          <w:szCs w:val="32"/>
        </w:rPr>
        <w:t>公开方式</w:t>
      </w:r>
      <w:r>
        <w:rPr>
          <w:rFonts w:ascii="Times New Roman" w:hAnsi="Times New Roman" w:eastAsia="黑体"/>
          <w:color w:val="000000"/>
          <w:sz w:val="32"/>
          <w:szCs w:val="32"/>
        </w:rPr>
        <w:t>：</w:t>
      </w:r>
      <w:r>
        <w:rPr>
          <w:rFonts w:ascii="Times New Roman" w:hAnsi="Times New Roman" w:eastAsia="仿宋_GB2312"/>
          <w:color w:val="000000"/>
          <w:sz w:val="32"/>
          <w:szCs w:val="32"/>
        </w:rPr>
        <w:t>主动公开</w:t>
      </w:r>
    </w:p>
    <w:p w14:paraId="45EB9BE1">
      <w:pPr>
        <w:rPr>
          <w:rFonts w:hint="eastAsia"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br w:type="page"/>
      </w:r>
      <w:r>
        <w:rPr>
          <w:rFonts w:hint="eastAsia" w:ascii="Times New Roman" w:hAnsi="Times New Roman" w:eastAsia="黑体"/>
          <w:color w:val="000000"/>
          <w:sz w:val="32"/>
          <w:szCs w:val="32"/>
        </w:rPr>
        <w:t>附件1</w:t>
      </w:r>
    </w:p>
    <w:p w14:paraId="2E844CB0">
      <w:pPr>
        <w:snapToGrid w:val="0"/>
        <w:spacing w:beforeLines="0" w:afterLines="0" w:line="560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sz w:val="44"/>
          <w:szCs w:val="44"/>
        </w:rPr>
        <w:t>广东省高等教育自学考试部分专业</w:t>
      </w:r>
    </w:p>
    <w:p w14:paraId="3256B4EE">
      <w:pPr>
        <w:snapToGrid w:val="0"/>
        <w:spacing w:beforeLines="0" w:afterLines="0" w:line="560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sz w:val="44"/>
          <w:szCs w:val="44"/>
        </w:rPr>
        <w:t>增加主考学校列表</w:t>
      </w:r>
    </w:p>
    <w:tbl>
      <w:tblPr>
        <w:tblStyle w:val="6"/>
        <w:tblW w:w="82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9"/>
        <w:gridCol w:w="2943"/>
        <w:gridCol w:w="2928"/>
        <w:gridCol w:w="1070"/>
      </w:tblGrid>
      <w:tr w14:paraId="179A3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F05F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专业代码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E9CA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专业名称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13A5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主考学校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FF50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  <w:t>类型</w:t>
            </w:r>
          </w:p>
        </w:tc>
      </w:tr>
      <w:tr w14:paraId="30A38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E22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030101K</w:t>
            </w:r>
          </w:p>
        </w:tc>
        <w:tc>
          <w:tcPr>
            <w:tcW w:w="294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7CD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法学</w:t>
            </w:r>
          </w:p>
        </w:tc>
        <w:tc>
          <w:tcPr>
            <w:tcW w:w="29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A25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广州大学</w:t>
            </w:r>
          </w:p>
        </w:tc>
        <w:tc>
          <w:tcPr>
            <w:tcW w:w="107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0842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专升本</w:t>
            </w:r>
          </w:p>
        </w:tc>
      </w:tr>
      <w:tr w14:paraId="5B247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15DEC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030302</w:t>
            </w:r>
          </w:p>
        </w:tc>
        <w:tc>
          <w:tcPr>
            <w:tcW w:w="294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9C3C4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社会工作</w:t>
            </w:r>
          </w:p>
        </w:tc>
        <w:tc>
          <w:tcPr>
            <w:tcW w:w="29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E3A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广东工业大学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42EC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</w:tr>
      <w:tr w14:paraId="4E804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833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4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8C1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667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广东财经大学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97CD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58DD8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346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050303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267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广告学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4E8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暨南大学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B537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9DA8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BE96D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050306T</w:t>
            </w:r>
          </w:p>
        </w:tc>
        <w:tc>
          <w:tcPr>
            <w:tcW w:w="294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9AB61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网络与新媒体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3D5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暨南大学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0136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ADD3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69A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4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3EB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D9F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广东财经大学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6E13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4EB34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E9125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080202</w:t>
            </w:r>
          </w:p>
        </w:tc>
        <w:tc>
          <w:tcPr>
            <w:tcW w:w="294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608E3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  <w:p w14:paraId="4A9262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D5A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广东工业大学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B1D6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DE8C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1FEDD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4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7E5C5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F4C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广州大学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B484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438D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C2F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4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E56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59E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电子科技大学中山学院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845B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5B1C9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F2E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080205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57D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工业设计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C22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广东工业大学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33F3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7E1D8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97666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080701</w:t>
            </w:r>
          </w:p>
        </w:tc>
        <w:tc>
          <w:tcPr>
            <w:tcW w:w="294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C54C6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电子信息工程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B03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暨南大学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19F9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5ADED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478E5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4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9C2C1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B4C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广东工业大学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36FB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0F84D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F7A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4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DCC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EA5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电子科技大学中山学院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942E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7E077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77B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080901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B5E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6A4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广东工业大学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EC5E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08C30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3F2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080902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27C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软件工程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A7B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广东工业大学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7F46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6064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CCD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080905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67B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物联网工程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F91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广州大学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4832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AFF2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AD5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081001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3D2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土木工程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A51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广东工业大学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9DDB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67038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8DA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081801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A0D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交通运输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F86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广州理工学院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39DC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926F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62B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101101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35E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护理学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D9D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暨南大学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D776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74F56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668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120102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30D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信息管理与信息系统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1C9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暨南大学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BA44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DCD0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127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120210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1D7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文化产业管理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4E2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暨南大学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C922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17EFA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322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120801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FE6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电子商务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C42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电子科技大学中山学院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A504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6E73B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D71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130309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4FC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播音与主持艺术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6BE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暨南大学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4952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72BD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9DE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130504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58F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产品设计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077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广东工业大学</w:t>
            </w:r>
          </w:p>
        </w:tc>
        <w:tc>
          <w:tcPr>
            <w:tcW w:w="10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21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3925A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76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550103</w:t>
            </w:r>
          </w:p>
        </w:tc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19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数字媒体艺术设计</w:t>
            </w:r>
          </w:p>
        </w:tc>
        <w:tc>
          <w:tcPr>
            <w:tcW w:w="2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C7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广州大学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D2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专科</w:t>
            </w:r>
          </w:p>
        </w:tc>
      </w:tr>
    </w:tbl>
    <w:p w14:paraId="22A94FDB">
      <w:pPr>
        <w:rPr>
          <w:rFonts w:ascii="Times New Roman" w:hAnsi="Times New Roman" w:eastAsia="黑体"/>
          <w:color w:val="000000"/>
          <w:sz w:val="32"/>
          <w:szCs w:val="32"/>
        </w:rPr>
      </w:pPr>
    </w:p>
    <w:p w14:paraId="34447CB4">
      <w:pPr>
        <w:snapToGrid/>
        <w:spacing w:beforeLines="0" w:afterLines="0" w:line="240" w:lineRule="auto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br w:type="page"/>
      </w:r>
      <w:r>
        <w:rPr>
          <w:rFonts w:ascii="Times New Roman" w:hAnsi="Times New Roman" w:eastAsia="黑体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/>
          <w:color w:val="000000"/>
          <w:sz w:val="32"/>
          <w:szCs w:val="32"/>
        </w:rPr>
        <w:t>2</w:t>
      </w:r>
    </w:p>
    <w:p w14:paraId="42F9A663">
      <w:pPr>
        <w:snapToGrid w:val="0"/>
        <w:spacing w:beforeLines="0" w:afterLines="0" w:line="560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sz w:val="44"/>
          <w:szCs w:val="44"/>
        </w:rPr>
        <w:t>广东省高等教育自学考试部分专业</w:t>
      </w:r>
    </w:p>
    <w:p w14:paraId="6B6A6A73">
      <w:pPr>
        <w:snapToGrid w:val="0"/>
        <w:spacing w:beforeLines="0" w:afterLines="0" w:line="560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/>
          <w:color w:val="000000"/>
          <w:sz w:val="44"/>
          <w:szCs w:val="44"/>
        </w:rPr>
        <w:t>退出</w:t>
      </w:r>
      <w:r>
        <w:rPr>
          <w:rFonts w:ascii="Times New Roman" w:hAnsi="Times New Roman" w:eastAsia="方正小标宋简体"/>
          <w:color w:val="000000"/>
          <w:sz w:val="44"/>
          <w:szCs w:val="44"/>
        </w:rPr>
        <w:t>主考学校列表</w:t>
      </w:r>
    </w:p>
    <w:p w14:paraId="7484128D">
      <w:pPr>
        <w:rPr>
          <w:rFonts w:ascii="Times New Roman" w:hAnsi="Times New Roman"/>
          <w:color w:val="000000"/>
          <w:szCs w:val="22"/>
        </w:rPr>
      </w:pPr>
    </w:p>
    <w:tbl>
      <w:tblPr>
        <w:tblStyle w:val="6"/>
        <w:tblW w:w="80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00"/>
        <w:gridCol w:w="1284"/>
        <w:gridCol w:w="2669"/>
        <w:gridCol w:w="1341"/>
        <w:gridCol w:w="5"/>
      </w:tblGrid>
      <w:tr w14:paraId="26DCB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5" w:type="dxa"/>
          <w:trHeight w:val="172" w:hRule="atLeast"/>
          <w:jc w:val="center"/>
        </w:trPr>
        <w:tc>
          <w:tcPr>
            <w:tcW w:w="280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F27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  <w:t>主考学校</w:t>
            </w:r>
          </w:p>
        </w:tc>
        <w:tc>
          <w:tcPr>
            <w:tcW w:w="52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D7AA0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  <w:t>退出主考专业</w:t>
            </w:r>
          </w:p>
        </w:tc>
      </w:tr>
      <w:tr w14:paraId="1A677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2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FB7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CB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38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  <w:t>专业名称</w:t>
            </w:r>
          </w:p>
        </w:tc>
        <w:tc>
          <w:tcPr>
            <w:tcW w:w="134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537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bidi="ar"/>
              </w:rPr>
              <w:t>类型</w:t>
            </w:r>
          </w:p>
        </w:tc>
      </w:tr>
      <w:tr w14:paraId="3BA21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" w:hRule="atLeast"/>
          <w:jc w:val="center"/>
        </w:trPr>
        <w:tc>
          <w:tcPr>
            <w:tcW w:w="2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6972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华南理工大学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D2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440301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4D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建筑工程技术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C0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专科</w:t>
            </w:r>
          </w:p>
        </w:tc>
      </w:tr>
      <w:tr w14:paraId="6B960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" w:hRule="atLeast"/>
          <w:jc w:val="center"/>
        </w:trPr>
        <w:tc>
          <w:tcPr>
            <w:tcW w:w="2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6EE1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93AA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081801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3BDA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交通运输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178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专升本</w:t>
            </w:r>
          </w:p>
        </w:tc>
      </w:tr>
      <w:tr w14:paraId="4A782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  <w:jc w:val="center"/>
        </w:trPr>
        <w:tc>
          <w:tcPr>
            <w:tcW w:w="2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FE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1B4D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120206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00E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人力资源管理</w:t>
            </w:r>
          </w:p>
        </w:tc>
        <w:tc>
          <w:tcPr>
            <w:tcW w:w="134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39A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专升本</w:t>
            </w:r>
          </w:p>
        </w:tc>
      </w:tr>
      <w:tr w14:paraId="11D05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8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56D5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华南农业大学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A59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440301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77B4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建筑工程技术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0C41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专科</w:t>
            </w:r>
          </w:p>
        </w:tc>
      </w:tr>
      <w:tr w14:paraId="611E9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B7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98F2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530501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650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国际经济与贸易</w:t>
            </w:r>
          </w:p>
        </w:tc>
        <w:tc>
          <w:tcPr>
            <w:tcW w:w="134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691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专科</w:t>
            </w:r>
          </w:p>
        </w:tc>
      </w:tr>
      <w:tr w14:paraId="0E7D3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DE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61AB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530701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C3F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电子商务</w:t>
            </w:r>
          </w:p>
        </w:tc>
        <w:tc>
          <w:tcPr>
            <w:tcW w:w="134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943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专科</w:t>
            </w:r>
          </w:p>
        </w:tc>
      </w:tr>
      <w:tr w14:paraId="74652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17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5A09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540101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820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旅游管理</w:t>
            </w:r>
          </w:p>
        </w:tc>
        <w:tc>
          <w:tcPr>
            <w:tcW w:w="134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651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专科</w:t>
            </w:r>
          </w:p>
        </w:tc>
      </w:tr>
      <w:tr w14:paraId="31198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9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88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EC52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550113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CE6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广告艺术设计</w:t>
            </w:r>
          </w:p>
        </w:tc>
        <w:tc>
          <w:tcPr>
            <w:tcW w:w="134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241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专科</w:t>
            </w:r>
          </w:p>
        </w:tc>
      </w:tr>
      <w:tr w14:paraId="730F0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1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A8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F91B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570201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6B95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商务英语</w:t>
            </w:r>
          </w:p>
        </w:tc>
        <w:tc>
          <w:tcPr>
            <w:tcW w:w="134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1F31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专科</w:t>
            </w:r>
          </w:p>
        </w:tc>
      </w:tr>
      <w:tr w14:paraId="015D1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B8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BD45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580401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BD10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法律事务</w:t>
            </w:r>
          </w:p>
        </w:tc>
        <w:tc>
          <w:tcPr>
            <w:tcW w:w="134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6A6C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专科</w:t>
            </w:r>
          </w:p>
        </w:tc>
      </w:tr>
      <w:tr w14:paraId="5DE7A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6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AD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2519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120901K</w:t>
            </w:r>
          </w:p>
        </w:tc>
        <w:tc>
          <w:tcPr>
            <w:tcW w:w="2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96A6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旅游管理</w:t>
            </w:r>
          </w:p>
        </w:tc>
        <w:tc>
          <w:tcPr>
            <w:tcW w:w="1346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B27D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专升本</w:t>
            </w:r>
          </w:p>
        </w:tc>
      </w:tr>
      <w:tr w14:paraId="3D312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" w:hRule="atLeast"/>
          <w:jc w:val="center"/>
        </w:trPr>
        <w:tc>
          <w:tcPr>
            <w:tcW w:w="28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964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华南师范大学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3C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590206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00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行政管理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32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专科</w:t>
            </w:r>
          </w:p>
        </w:tc>
      </w:tr>
      <w:tr w14:paraId="50D03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D9E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A5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120402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93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行政管理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85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专升本</w:t>
            </w:r>
          </w:p>
        </w:tc>
      </w:tr>
      <w:tr w14:paraId="724D0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FB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26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130503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C3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环境设计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7B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专升本</w:t>
            </w:r>
          </w:p>
        </w:tc>
      </w:tr>
      <w:tr w14:paraId="32C4B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" w:hRule="atLeast"/>
          <w:jc w:val="center"/>
        </w:trPr>
        <w:tc>
          <w:tcPr>
            <w:tcW w:w="28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CE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5EFC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130508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85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数字媒体艺术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B2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专升本</w:t>
            </w:r>
          </w:p>
        </w:tc>
      </w:tr>
      <w:tr w14:paraId="465AB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" w:hRule="atLeast"/>
          <w:jc w:val="center"/>
        </w:trPr>
        <w:tc>
          <w:tcPr>
            <w:tcW w:w="2800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A1D6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广东财经大学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4E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050303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01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广告学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02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专升本</w:t>
            </w:r>
          </w:p>
        </w:tc>
      </w:tr>
      <w:tr w14:paraId="047FC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" w:hRule="atLeast"/>
          <w:jc w:val="center"/>
        </w:trPr>
        <w:tc>
          <w:tcPr>
            <w:tcW w:w="2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82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汕头大学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B866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130503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2A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环境设计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49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专升本</w:t>
            </w:r>
          </w:p>
        </w:tc>
      </w:tr>
      <w:tr w14:paraId="170D7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" w:hRule="atLeast"/>
          <w:jc w:val="center"/>
        </w:trPr>
        <w:tc>
          <w:tcPr>
            <w:tcW w:w="28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71B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广东警官学院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C7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120402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6B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行政管理</w:t>
            </w: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AC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专升本</w:t>
            </w:r>
          </w:p>
        </w:tc>
      </w:tr>
    </w:tbl>
    <w:p w14:paraId="6EE785C2">
      <w:pPr>
        <w:rPr>
          <w:szCs w:val="22"/>
        </w:rPr>
      </w:pPr>
    </w:p>
    <w:p w14:paraId="3E3078AE">
      <w:pPr>
        <w:rPr>
          <w:szCs w:val="22"/>
        </w:rPr>
      </w:pPr>
    </w:p>
    <w:p w14:paraId="47B200F3">
      <w:pPr>
        <w:wordWrap/>
        <w:spacing w:line="560" w:lineRule="exact"/>
        <w:ind w:left="0" w:leftChars="0" w:firstLine="0" w:firstLineChars="0"/>
        <w:jc w:val="left"/>
        <w:rPr>
          <w:rFonts w:hint="eastAsia"/>
          <w:lang w:val="en-US" w:eastAsia="zh-CN"/>
        </w:rPr>
      </w:pPr>
    </w:p>
    <w:sectPr>
      <w:footerReference r:id="rId4" w:type="first"/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9310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48A5D8">
                          <w:pPr>
                            <w:pStyle w:val="4"/>
                            <w:rPr>
                              <w:rFonts w:hint="default" w:ascii="Times New Roman" w:hAnsi="Times New Roman" w:eastAsia="宋体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color w:val="000000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color w:val="000000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color w:val="000000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color w:val="000000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color w:val="00000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NQ+4/T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748A5D8">
                    <w:pPr>
                      <w:pStyle w:val="4"/>
                      <w:rPr>
                        <w:rFonts w:hint="default" w:ascii="Times New Roman" w:hAnsi="Times New Roman" w:eastAsia="宋体" w:cs="Times New Roman"/>
                        <w:sz w:val="18"/>
                        <w:szCs w:val="18"/>
                      </w:rPr>
                    </w:pPr>
                    <w:r>
                      <w:rPr>
                        <w:rFonts w:hint="default" w:ascii="Times New Roman" w:hAnsi="Times New Roman" w:cs="Times New Roman"/>
                        <w:color w:val="000000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color w:val="000000"/>
                        <w:sz w:val="1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color w:val="000000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color w:val="000000"/>
                        <w:sz w:val="18"/>
                        <w:szCs w:val="1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color w:val="00000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9502E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5BFA21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5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q7VWIN8BAAC/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25BFA21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C54C4A"/>
    <w:multiLevelType w:val="singleLevel"/>
    <w:tmpl w:val="62C54C4A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66AF97F5"/>
    <w:multiLevelType w:val="singleLevel"/>
    <w:tmpl w:val="66AF97F5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F26104"/>
    <w:rsid w:val="1DAB9AA7"/>
    <w:rsid w:val="1F3FB372"/>
    <w:rsid w:val="1FEDDF22"/>
    <w:rsid w:val="20870880"/>
    <w:rsid w:val="215D4709"/>
    <w:rsid w:val="25EF3521"/>
    <w:rsid w:val="33CFB96B"/>
    <w:rsid w:val="3FBFFCD1"/>
    <w:rsid w:val="3FD7F8BD"/>
    <w:rsid w:val="3FF1D23D"/>
    <w:rsid w:val="3FFBC917"/>
    <w:rsid w:val="41FFAE9F"/>
    <w:rsid w:val="43FA3B70"/>
    <w:rsid w:val="43FD23F0"/>
    <w:rsid w:val="4BFBC166"/>
    <w:rsid w:val="4E1009C7"/>
    <w:rsid w:val="4FEB6D42"/>
    <w:rsid w:val="59530D08"/>
    <w:rsid w:val="5B3907F7"/>
    <w:rsid w:val="5B79A761"/>
    <w:rsid w:val="5E7BCA41"/>
    <w:rsid w:val="5EFFC0F5"/>
    <w:rsid w:val="5FB9274D"/>
    <w:rsid w:val="5FEE33FF"/>
    <w:rsid w:val="5FF3E95B"/>
    <w:rsid w:val="5FFF6734"/>
    <w:rsid w:val="67F353A1"/>
    <w:rsid w:val="6BAF1C25"/>
    <w:rsid w:val="6BE3412C"/>
    <w:rsid w:val="6BE64717"/>
    <w:rsid w:val="6BFB8BED"/>
    <w:rsid w:val="6DFFBF26"/>
    <w:rsid w:val="6EEFDAC7"/>
    <w:rsid w:val="6FFC0F8A"/>
    <w:rsid w:val="6FFEEDE5"/>
    <w:rsid w:val="731E4588"/>
    <w:rsid w:val="735F2742"/>
    <w:rsid w:val="737F4D9F"/>
    <w:rsid w:val="747D0CAE"/>
    <w:rsid w:val="74F30163"/>
    <w:rsid w:val="75DBAD51"/>
    <w:rsid w:val="75FB99D7"/>
    <w:rsid w:val="76F75EDF"/>
    <w:rsid w:val="76FD048F"/>
    <w:rsid w:val="776C6303"/>
    <w:rsid w:val="77EB8CA5"/>
    <w:rsid w:val="77F8DA23"/>
    <w:rsid w:val="77FF8989"/>
    <w:rsid w:val="7977F729"/>
    <w:rsid w:val="79DE3928"/>
    <w:rsid w:val="7B7F2CFA"/>
    <w:rsid w:val="7BFDD798"/>
    <w:rsid w:val="7BFF6E27"/>
    <w:rsid w:val="7CFF47BA"/>
    <w:rsid w:val="7DED4CB1"/>
    <w:rsid w:val="7DF1E15F"/>
    <w:rsid w:val="7DF7F5E6"/>
    <w:rsid w:val="7DF86BD7"/>
    <w:rsid w:val="7E6F5301"/>
    <w:rsid w:val="7E7E211D"/>
    <w:rsid w:val="7ED36D5C"/>
    <w:rsid w:val="7EE77C21"/>
    <w:rsid w:val="7EFD4186"/>
    <w:rsid w:val="7F27C14A"/>
    <w:rsid w:val="7F4FA1B0"/>
    <w:rsid w:val="7F767EDD"/>
    <w:rsid w:val="7F7E70DF"/>
    <w:rsid w:val="7F7ECAB6"/>
    <w:rsid w:val="7F7FB93A"/>
    <w:rsid w:val="7FAFA1BC"/>
    <w:rsid w:val="7FB498C5"/>
    <w:rsid w:val="7FBF555B"/>
    <w:rsid w:val="7FCB57E4"/>
    <w:rsid w:val="7FED3AB4"/>
    <w:rsid w:val="7FEFF183"/>
    <w:rsid w:val="7FF901B5"/>
    <w:rsid w:val="7FF9E3E1"/>
    <w:rsid w:val="7FFE9A25"/>
    <w:rsid w:val="7FFF162F"/>
    <w:rsid w:val="9B5356A9"/>
    <w:rsid w:val="9F3FE308"/>
    <w:rsid w:val="A3FE3342"/>
    <w:rsid w:val="A3FF550F"/>
    <w:rsid w:val="A7EF4076"/>
    <w:rsid w:val="AAD56B4E"/>
    <w:rsid w:val="AB7F42A2"/>
    <w:rsid w:val="AC6E402E"/>
    <w:rsid w:val="B4FF783A"/>
    <w:rsid w:val="B77BCCCF"/>
    <w:rsid w:val="B7EFB5F2"/>
    <w:rsid w:val="BBF87288"/>
    <w:rsid w:val="BCFFAC48"/>
    <w:rsid w:val="BEEF055A"/>
    <w:rsid w:val="BF5FC2C4"/>
    <w:rsid w:val="BFB799E4"/>
    <w:rsid w:val="BFE9BF5C"/>
    <w:rsid w:val="BFEC739E"/>
    <w:rsid w:val="BFFF970A"/>
    <w:rsid w:val="C5FF6541"/>
    <w:rsid w:val="D3EF7FFB"/>
    <w:rsid w:val="D3FD1C27"/>
    <w:rsid w:val="D5D75972"/>
    <w:rsid w:val="D6FB82CD"/>
    <w:rsid w:val="D7FDB139"/>
    <w:rsid w:val="DAF531F9"/>
    <w:rsid w:val="DF5D99B7"/>
    <w:rsid w:val="DF7FA215"/>
    <w:rsid w:val="DF9F2EA7"/>
    <w:rsid w:val="E0B7758F"/>
    <w:rsid w:val="E9DF3E61"/>
    <w:rsid w:val="EADF771A"/>
    <w:rsid w:val="EB2E67D2"/>
    <w:rsid w:val="EBD994F5"/>
    <w:rsid w:val="EBFD0D00"/>
    <w:rsid w:val="EBFF6B4B"/>
    <w:rsid w:val="EC3C427B"/>
    <w:rsid w:val="EF6671E5"/>
    <w:rsid w:val="EF7D2D7C"/>
    <w:rsid w:val="EFBF7AA2"/>
    <w:rsid w:val="EFDF3429"/>
    <w:rsid w:val="EFFDC998"/>
    <w:rsid w:val="F297F55D"/>
    <w:rsid w:val="F348E4CD"/>
    <w:rsid w:val="F6FEE23C"/>
    <w:rsid w:val="F7DFDA66"/>
    <w:rsid w:val="F7FDB18E"/>
    <w:rsid w:val="F95FA209"/>
    <w:rsid w:val="F9FB07D8"/>
    <w:rsid w:val="FAFEBD07"/>
    <w:rsid w:val="FB7AC8A2"/>
    <w:rsid w:val="FBBFABCC"/>
    <w:rsid w:val="FC79DF23"/>
    <w:rsid w:val="FCADABC7"/>
    <w:rsid w:val="FDBD8EAD"/>
    <w:rsid w:val="FDF35CA2"/>
    <w:rsid w:val="FDFDB37B"/>
    <w:rsid w:val="FED7A10D"/>
    <w:rsid w:val="FEF389A7"/>
    <w:rsid w:val="FF5FE4DE"/>
    <w:rsid w:val="FF7F5857"/>
    <w:rsid w:val="FFAF2639"/>
    <w:rsid w:val="FFAF737E"/>
    <w:rsid w:val="FFCDA314"/>
    <w:rsid w:val="FFCEC5BD"/>
    <w:rsid w:val="FFD7E780"/>
    <w:rsid w:val="FFE74AB3"/>
    <w:rsid w:val="FFF3F9CD"/>
    <w:rsid w:val="FFFA54F4"/>
    <w:rsid w:val="FFFBF34F"/>
    <w:rsid w:val="FFFF5202"/>
    <w:rsid w:val="FFFFEE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8">
    <w:name w:val="Default Paragraph Font"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1243</Words>
  <Characters>1454</Characters>
  <Lines>0</Lines>
  <Paragraphs>0</Paragraphs>
  <TotalTime>2</TotalTime>
  <ScaleCrop>false</ScaleCrop>
  <LinksUpToDate>false</LinksUpToDate>
  <CharactersWithSpaces>1484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2020-08-13T17:54:00Z</dcterms:created>
  <dc:creator>3040</dc:creator>
  <cp:lastModifiedBy>ghguo</cp:lastModifiedBy>
  <cp:lastPrinted>2025-08-25T00:50:00Z</cp:lastPrinted>
  <dcterms:modified xsi:type="dcterms:W3CDTF">2026-09-10T09:41:24Z</dcterms:modified>
  <dc:title>关于调整我省高等教育自学考试部分专业主考学校的通知_定稿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F1C89883845E487BB25A4AB58C0E2AC3_13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eyJoZGlkIjoiZjk0M2JiNDYzYTIwNmNlZDNlMDExZDMwYTI3MmUxNzQiLCJ1c2VySWQiOiIyNTc3NDY1NzUifQ==</vt:lpwstr>
  </property>
  <property fmtid="{D5CDD505-2E9C-101B-9397-08002B2CF9AE}" pid="5" name="慧眼令牌">
    <vt:lpwstr>eyJraWQiOiJvYSIsInR5cCI6IkpXVCIsImFsZyI6IkhTMjU2In0.eyJzdWIiOiJPQS1MT0dJTiIsImNvcnBJZCI6IiIsIm1haW5BY2NvdW50IjoiIiwiaXNzIjoiRVhPQSIsIm9EZXB0IjoiIiwidXNlcklkIjoxNTQ4NywibURlcHQiOiIxNDE1MizmnI3liqHkuK3lv4MiLCJnc29BY2NvdW50IjoiYWRtaW4iLCJuYmYiOjE3ODQ1OTc0NzQsIm5hbWUiOiLolKHplIsiLCJleHAiOjIwOTk5NjEwNzQsImlhdCI6MTc4NDYwMDQ3NCwianRpIjoib2EiLCJhY2NvdW50IjoiY2FpZiJ9.ACOTbvgRanbpQ3blISt-bZ8mbkI7as0pFsDXGhHeOfE</vt:lpwstr>
  </property>
</Properties>
</file>