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spacing w:val="-10"/>
          <w:sz w:val="44"/>
          <w:szCs w:val="44"/>
        </w:rPr>
      </w:pPr>
      <w:bookmarkStart w:id="0" w:name="_GoBack"/>
      <w:bookmarkEnd w:id="0"/>
      <w:r>
        <w:rPr>
          <w:rFonts w:hint="eastAsia" w:ascii="方正小标宋简体" w:hAnsi="方正小标宋简体" w:eastAsia="方正小标宋简体" w:cs="方正小标宋简体"/>
          <w:spacing w:val="-10"/>
          <w:sz w:val="44"/>
          <w:szCs w:val="44"/>
        </w:rPr>
        <w:t>“中国青创板”挂牌申报及后续服务流程方案</w:t>
      </w:r>
    </w:p>
    <w:p>
      <w:pPr>
        <w:autoSpaceDE w:val="0"/>
        <w:spacing w:line="7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青创板”，是共青团中央和广东省人民政府共同建设的综合金融服务平台，始创于2014年的“挑战杯•创青春”广东大学生创业大赛，由广州股权交易中心负责日常运营、服务对接、业务拓展。中国青创板的战略定位，是为全国青年创新创业项目（企业）提供孵化、托管、增信、融资、交易、退出等综合金融服务，是各类创新资本进入天使投资和创业风险投资的专业资本市场，是小微创新企业进入资本市场的教练场和孵化工场，是多层次资本市场的拓展和延伸。</w:t>
      </w:r>
    </w:p>
    <w:p>
      <w:pPr>
        <w:autoSpaceDE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中国青创板通过打造“三全双创服务机制”（即全时段、全链条、全流程的创新创业服务机制）， 深入对接服务全国青年的创新创业项目（企业），为青年实现创业梦想和自身价值“铺路搭桥”。具体服务流程方案设计如下：</w:t>
      </w:r>
    </w:p>
    <w:p>
      <w:pPr>
        <w:pStyle w:val="5"/>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一、完整服务流程</w:t>
      </w:r>
    </w:p>
    <w:p>
      <w:pPr>
        <w:pStyle w:val="5"/>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提交申请表，网站自主申请登记“中国青创板”官网（http：//www.chinayouthgem.com）创建项目，自主申报。</w:t>
      </w:r>
    </w:p>
    <w:p>
      <w:pPr>
        <w:pStyle w:val="5"/>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挂牌审核，对申报创业项目和初创业进行审核、分类，审核资质及发展前景。</w:t>
      </w:r>
    </w:p>
    <w:p>
      <w:pPr>
        <w:pStyle w:val="5"/>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挂牌展示，将通过审核的创业项目和初创企业在官网、微信、对外展示、宣传推介。</w:t>
      </w:r>
    </w:p>
    <w:p>
      <w:pPr>
        <w:pStyle w:val="5"/>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投融资对接，线上股权融资，线下与天使投资人对接完成融资服务。</w:t>
      </w:r>
    </w:p>
    <w:p>
      <w:pPr>
        <w:pStyle w:val="5"/>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孵化培育，将匹配合适的创业导师对创业项目和初创企业进行一对一辅导。</w:t>
      </w:r>
    </w:p>
    <w:p>
      <w:pPr>
        <w:pStyle w:val="5"/>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持续服务，为完成创业融资的挂牌项目提供持续性的综合金融服务。</w:t>
      </w:r>
    </w:p>
    <w:p>
      <w:pPr>
        <w:pStyle w:val="5"/>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二、挂牌项目（企业）标准</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1. 拥有稳定的创业团队，具有完整的创业计划及作品；</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2. 拥有创新的技术或模式，具有较强的市场应用价值；</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3. 拥有自主知识产权，具有较强的科技创新能力。</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符合上述条件之一的优秀创业项目及创业企业，在提交资料并通过广州股权交易中心审核后，即可挂牌进行融资交易。</w:t>
      </w:r>
    </w:p>
    <w:p>
      <w:pPr>
        <w:pStyle w:val="5"/>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三、申请挂牌方式</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1. 线上自助申请：</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登陆“中国青创板”官网</w:t>
      </w:r>
      <w:r>
        <w:rPr>
          <w:rFonts w:ascii="Times New Roman" w:hAnsi="Times New Roman" w:eastAsia="方正仿宋_GBK"/>
          <w:sz w:val="32"/>
          <w:szCs w:val="32"/>
        </w:rPr>
        <w:t>（www.chinayouthgem.com</w:t>
      </w:r>
      <w:r>
        <w:rPr>
          <w:rFonts w:hint="eastAsia" w:ascii="方正仿宋_GBK" w:hAnsi="方正仿宋_GBK" w:eastAsia="方正仿宋_GBK" w:cs="方正仿宋_GBK"/>
          <w:sz w:val="32"/>
          <w:szCs w:val="32"/>
        </w:rPr>
        <w:t>）</w:t>
      </w:r>
      <w:r>
        <w:rPr>
          <w:rFonts w:hint="eastAsia" w:ascii="方正仿宋_GBK" w:eastAsia="方正仿宋_GBK" w:cs="黑体"/>
          <w:sz w:val="32"/>
          <w:szCs w:val="32"/>
        </w:rPr>
        <w:t>，点击首页上方的“创建项目”，根据提示完成账号注册，录入项目信息并提交即可。</w:t>
      </w:r>
    </w:p>
    <w:p>
      <w:pPr>
        <w:autoSpaceDE w:val="0"/>
        <w:spacing w:line="540" w:lineRule="exact"/>
        <w:ind w:firstLine="640" w:firstLineChars="200"/>
        <w:rPr>
          <w:rFonts w:ascii="方正仿宋_GBK" w:eastAsia="方正仿宋_GBK" w:cs="黑体"/>
          <w:b/>
          <w:sz w:val="32"/>
          <w:szCs w:val="32"/>
        </w:rPr>
      </w:pPr>
      <w:r>
        <w:rPr>
          <w:rFonts w:hint="eastAsia" w:ascii="方正仿宋_GBK" w:eastAsia="方正仿宋_GBK" w:cs="黑体"/>
          <w:sz w:val="32"/>
          <w:szCs w:val="32"/>
        </w:rPr>
        <w:t>2. 组织推荐：</w:t>
      </w:r>
    </w:p>
    <w:p>
      <w:pPr>
        <w:autoSpaceDE w:val="0"/>
        <w:spacing w:line="540" w:lineRule="exact"/>
        <w:ind w:firstLine="630" w:firstLineChars="300"/>
        <w:rPr>
          <w:rFonts w:ascii="方正仿宋_GBK" w:eastAsia="方正仿宋_GBK" w:cs="黑体"/>
          <w:sz w:val="32"/>
          <w:szCs w:val="32"/>
        </w:rPr>
      </w:pPr>
      <w:r>
        <w:fldChar w:fldCharType="begin"/>
      </w:r>
      <w:r>
        <w:instrText xml:space="preserve"> HYPERLINK "mailto:经中国青创板认可的组织推荐，包括但不限于市级以上共青团组织、创业大赛组委会，经过合法注册或备案的高等院校、孵化器、投资机构及其他专业服务机构，上板申请手续可由组织代理实施。经由组织推荐的项目须提供完整的项目信息，填写附件后申请表，并提交商业计划书、PPT、代理声明、组织推荐函等电子版材料，发送至邮箱youthgem@163.com，请以\\" </w:instrText>
      </w:r>
      <w:r>
        <w:fldChar w:fldCharType="separate"/>
      </w:r>
      <w:r>
        <w:rPr>
          <w:rStyle w:val="3"/>
          <w:rFonts w:hint="eastAsia" w:ascii="方正仿宋_GBK" w:eastAsia="方正仿宋_GBK" w:cs="黑体"/>
          <w:sz w:val="32"/>
          <w:szCs w:val="32"/>
        </w:rPr>
        <w:t>经中国青创板认可的组织推荐，包括但不限于市级以上共青团组织、创业大赛组委会，经过合法注册或备案的高等院校、孵化器、投资机构及其他专业服务机构，挂牌申请手续可由组织代理实施。经由组织推荐的项目须提供完整的项目信息，</w:t>
      </w:r>
      <w:r>
        <w:rPr>
          <w:rStyle w:val="3"/>
          <w:rFonts w:hint="eastAsia" w:ascii="方正仿宋_GBK" w:eastAsia="方正仿宋_GBK" w:cs="黑体"/>
          <w:b/>
          <w:sz w:val="32"/>
          <w:szCs w:val="32"/>
        </w:rPr>
        <w:t>填写附件</w:t>
      </w:r>
      <w:r>
        <w:rPr>
          <w:rStyle w:val="3"/>
          <w:rFonts w:hint="eastAsia" w:ascii="方正仿宋_GBK" w:eastAsia="方正仿宋_GBK" w:cs="黑体"/>
          <w:sz w:val="32"/>
          <w:szCs w:val="32"/>
        </w:rPr>
        <w:t>，并提交商业计划书、PPT、代理声明、组织推荐函等电子版材料，发送至邮箱youthgem@163.com，请以“XXXX（推荐单位名称）推荐中国青创板挂板项目”作为邮件标题。推荐单位请务必标出，以便记录各单位推荐的项目数量。</w:t>
      </w:r>
      <w:r>
        <w:rPr>
          <w:rStyle w:val="3"/>
          <w:rFonts w:hint="eastAsia" w:ascii="方正仿宋_GBK" w:eastAsia="方正仿宋_GBK" w:cs="黑体"/>
          <w:sz w:val="32"/>
          <w:szCs w:val="32"/>
        </w:rPr>
        <w:fldChar w:fldCharType="end"/>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b/>
          <w:sz w:val="32"/>
          <w:szCs w:val="32"/>
        </w:rPr>
        <w:t>备注：</w:t>
      </w:r>
      <w:r>
        <w:rPr>
          <w:rFonts w:hint="eastAsia" w:ascii="方正仿宋_GBK" w:eastAsia="方正仿宋_GBK" w:cs="黑体"/>
          <w:sz w:val="32"/>
          <w:szCs w:val="32"/>
        </w:rPr>
        <w:t>创业团队所提供的信息将作为挂牌资料谨慎使用，其中商业模式、核心竞争力、财务运营数据及状况、主要联系人及联系方式等内部资料，只作为内部审核依据不对外公开，其余可公开信息将会在中国青创板官网www.chinayouthgem.com上公开展示，以方便投资机构及合作方查阅，提高项目曝光度。有合作意向的机构需通过中国青创板与您对接联系。提交资料并成功挂牌的项目，中国青创板平台将安排专人联系，对接提供孵化培育、规范辅导、登记托管、挂牌展示、投融资对接等各种综合金融服务。</w:t>
      </w:r>
    </w:p>
    <w:p>
      <w:pPr>
        <w:pStyle w:val="5"/>
        <w:autoSpaceDE w:val="0"/>
        <w:spacing w:line="540" w:lineRule="exact"/>
        <w:ind w:firstLine="640"/>
        <w:rPr>
          <w:rFonts w:ascii="方正黑体_GBK" w:hAnsi="方正黑体_GBK" w:eastAsia="方正黑体_GBK" w:cs="方正黑体_GBK"/>
          <w:sz w:val="28"/>
          <w:szCs w:val="28"/>
        </w:rPr>
      </w:pPr>
      <w:r>
        <w:rPr>
          <w:rFonts w:hint="eastAsia" w:ascii="方正黑体_GBK" w:hAnsi="方正黑体_GBK" w:eastAsia="方正黑体_GBK" w:cs="方正黑体_GBK"/>
          <w:sz w:val="32"/>
          <w:szCs w:val="32"/>
        </w:rPr>
        <w:t>四、挂牌项目审核流程</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1. “中国青创板”授权广州股权交易中心，按照</w:t>
      </w:r>
      <w:r>
        <w:rPr>
          <w:rFonts w:hint="eastAsia" w:ascii="方正仿宋_GBK" w:eastAsia="方正仿宋_GBK" w:cs="黑体"/>
          <w:b/>
          <w:sz w:val="32"/>
          <w:szCs w:val="32"/>
        </w:rPr>
        <w:t>挂牌项目（企业）标准</w:t>
      </w:r>
      <w:r>
        <w:rPr>
          <w:rFonts w:hint="eastAsia" w:ascii="方正仿宋_GBK" w:eastAsia="方正仿宋_GBK" w:cs="黑体"/>
          <w:sz w:val="32"/>
          <w:szCs w:val="32"/>
        </w:rPr>
        <w:t>对申报创业项目和初创企业进行形式审核。在资料完整的前提下，“中国青创板”将在10个工作日内完成项目审核程序。</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2. 如审核未通过，将由工作人员联系项目方或推荐机构，完成后续资料补充工作。</w:t>
      </w:r>
    </w:p>
    <w:p>
      <w:pPr>
        <w:pStyle w:val="5"/>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五、挂牌展示</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广州股权交易中心将通过审核的创业项目和初创企业在中国青创板官网</w:t>
      </w:r>
      <w:r>
        <w:rPr>
          <w:rFonts w:ascii="Times New Roman" w:hAnsi="Times New Roman" w:eastAsia="方正仿宋_GBK"/>
          <w:sz w:val="32"/>
          <w:szCs w:val="32"/>
        </w:rPr>
        <w:t>（www.chinayouthgem.com</w:t>
      </w:r>
      <w:r>
        <w:rPr>
          <w:rFonts w:hint="eastAsia" w:ascii="方正仿宋_GBK" w:hAnsi="方正仿宋_GBK" w:eastAsia="方正仿宋_GBK" w:cs="方正仿宋_GBK"/>
          <w:sz w:val="32"/>
          <w:szCs w:val="32"/>
        </w:rPr>
        <w:t>）</w:t>
      </w:r>
      <w:r>
        <w:rPr>
          <w:rFonts w:hint="eastAsia" w:ascii="方正仿宋_GBK" w:eastAsia="方正仿宋_GBK" w:cs="黑体"/>
          <w:sz w:val="32"/>
          <w:szCs w:val="32"/>
        </w:rPr>
        <w:t>、广州股权交易中心微信公众号（gzgqjyzx）进行挂牌展示和宣传推介。</w:t>
      </w:r>
    </w:p>
    <w:p>
      <w:pPr>
        <w:pStyle w:val="5"/>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六、投融资对接</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由广州股权交易中心多年从事投融资服务的业务专家组成融资服务团队，全程跟进创业项目及创业企业的融资活动。根据项目融资意愿和经营状况，进行分类管理和定向服务。其中，重点了解挂牌项目的融资意向及企业情况，对企业开展初步尽职调查，根据企业所处阶段匹配相应的意向投资机构。</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中国青创板挂牌项目要成为融资标的，需同时满足以下条件：企业信息齐备，团队稳定，商业计划书和PPT逻辑清晰，融资需求明确，估值合理。</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融资形式主要包括：</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一是根据企业和投资机构的投资需求，在挂牌项目中筛选服务标的，并持续跟进标的融资进程。</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二是为融资项目提供定制化专业金融服务。</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三是整合各地政策及行业资源为项目提供增值服务。中国青创板整合创投机构及各类大赛资源，为优质项目提供项目路演机会，邀请投资者参与点评及辅导，投资者对意向投资项目进行尽职调查后，可实现线下资金募集。</w:t>
      </w:r>
    </w:p>
    <w:p>
      <w:pPr>
        <w:pStyle w:val="5"/>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七、孵化培育</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为了让优秀的创业项目和初创企业更好更快的成长，中国青创板将匹配合适的创业导师对创业项目和初创企业进行跟踪辅导。辅导形式主要有以下三种：</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b/>
          <w:sz w:val="32"/>
          <w:szCs w:val="32"/>
        </w:rPr>
        <w:t>1. 互联网定制辅导：</w:t>
      </w:r>
      <w:r>
        <w:rPr>
          <w:rFonts w:hint="eastAsia" w:ascii="方正仿宋_GBK" w:eastAsia="方正仿宋_GBK" w:cs="黑体"/>
          <w:sz w:val="32"/>
          <w:szCs w:val="32"/>
        </w:rPr>
        <w:t>通过对优秀项目和初创企业辅导需求的征集整理，结合专家评审会意见，确定具体辅导内容。根据辅导内容从创业辅导委员会中匹配合适的创业导师，通过网络、音视频等互联网形式开展线上辅导。</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b/>
          <w:sz w:val="32"/>
          <w:szCs w:val="32"/>
        </w:rPr>
        <w:t>2. 创业导师巡回辅导：</w:t>
      </w:r>
      <w:r>
        <w:rPr>
          <w:rFonts w:hint="eastAsia" w:ascii="方正仿宋_GBK" w:eastAsia="方正仿宋_GBK" w:cs="黑体"/>
          <w:sz w:val="32"/>
          <w:szCs w:val="32"/>
        </w:rPr>
        <w:t>根据各地创业项目和初创企业需求制定辅导培训方案，从创业辅导委员会中遴选创业导师赴各地开展专题讲座、创业沙龙、辅导报告、座谈会等形式多样的创新创业专题辅导活动。</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b/>
          <w:sz w:val="32"/>
          <w:szCs w:val="32"/>
        </w:rPr>
        <w:t>3. 青创100培训班：</w:t>
      </w:r>
      <w:r>
        <w:rPr>
          <w:rFonts w:hint="eastAsia" w:ascii="方正仿宋_GBK" w:eastAsia="方正仿宋_GBK" w:cs="黑体"/>
          <w:sz w:val="32"/>
          <w:szCs w:val="32"/>
        </w:rPr>
        <w:t>每年从中国青创板项目库中筛选一定数量的优质创业项目和企业创始人，在一年中不定期集中开展培训，着重为学员提供资本市场系统培训、跨行业资源对接、创业经验交流、素质拓展、能力提升等服务。</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b/>
          <w:sz w:val="32"/>
          <w:szCs w:val="32"/>
        </w:rPr>
        <w:t>4. 线下孵化集群：</w:t>
      </w:r>
      <w:r>
        <w:rPr>
          <w:rFonts w:hint="eastAsia" w:ascii="方正仿宋_GBK" w:eastAsia="方正仿宋_GBK" w:cs="黑体"/>
          <w:sz w:val="32"/>
          <w:szCs w:val="32"/>
        </w:rPr>
        <w:t>中国青创板联合各地政府、团组织、孵化器、产业园区、投融资机构等，在全国各地通过设立孵化基地、项目落地示范区、运营服务中心、孵化基地、服务站等形式共建“中国青创板线下服务基地集群”，为挂牌的项目（企业）提供落地、孵化、培训、资源对接等方面服务，助力企业规范发展、快速成长，拉动地方产业和经济全面、快速、健康发展。目前，广州南沙、深圳前海、珠海横琴、佛山、韶关、河源、梅州、东莞、中山、江门、阳江、湛江、清远、揭阳等28个地市已相继建立了形式不一的中国青创板线下服务站点，根据当地需求和特色，开展服务，为中国青创板线下孵化集群的运营开创了相关经验。</w:t>
      </w:r>
    </w:p>
    <w:p>
      <w:pPr>
        <w:pStyle w:val="5"/>
        <w:autoSpaceDE w:val="0"/>
        <w:spacing w:line="540" w:lineRule="exact"/>
        <w:ind w:firstLine="640"/>
        <w:rPr>
          <w:rFonts w:ascii="方正黑体_GBK" w:hAnsi="方正黑体_GBK" w:eastAsia="方正黑体_GBK" w:cs="方正黑体_GBK"/>
          <w:sz w:val="28"/>
          <w:szCs w:val="28"/>
        </w:rPr>
      </w:pPr>
      <w:r>
        <w:rPr>
          <w:rFonts w:hint="eastAsia" w:ascii="方正黑体_GBK" w:hAnsi="方正黑体_GBK" w:eastAsia="方正黑体_GBK" w:cs="方正黑体_GBK"/>
          <w:sz w:val="32"/>
          <w:szCs w:val="32"/>
        </w:rPr>
        <w:t>八、持续服务</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为了更好的服务在中国青创板挂牌的创业项目和初创企业，广州股权交易中心将为已完成A轮融资的挂牌项目提供持续性金融服务，包括后续的B轮及C轮投融资对接服务，符合转板条件的挂牌项目，可升级为中心挂牌企业，成熟的挂牌企业向新三板、创业板和中小板推荐挂牌、上市。</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此外，中国青创板的投后管理业务内容还包括媒体宣传、人力资源、技术对接、信息披露、股权转让、并购/退出等方面，主要由中国青创板认定的具备相应资源和资质的合作机构跟进服务</w:t>
      </w:r>
    </w:p>
    <w:p>
      <w:pPr>
        <w:autoSpaceDE w:val="0"/>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utoSpaceDE w:val="0"/>
        <w:spacing w:line="540" w:lineRule="exact"/>
        <w:rPr>
          <w:rFonts w:ascii="方正仿宋_GBK" w:eastAsia="方正仿宋_GBK" w:cs="黑体"/>
          <w:sz w:val="32"/>
          <w:szCs w:val="32"/>
        </w:rPr>
      </w:pPr>
    </w:p>
    <w:tbl>
      <w:tblPr>
        <w:tblStyle w:val="4"/>
        <w:tblW w:w="9486" w:type="dxa"/>
        <w:tblInd w:w="136" w:type="dxa"/>
        <w:tblLayout w:type="fixed"/>
        <w:tblCellMar>
          <w:top w:w="0" w:type="dxa"/>
          <w:left w:w="108" w:type="dxa"/>
          <w:bottom w:w="0" w:type="dxa"/>
          <w:right w:w="108" w:type="dxa"/>
        </w:tblCellMar>
      </w:tblPr>
      <w:tblGrid>
        <w:gridCol w:w="1381"/>
        <w:gridCol w:w="17"/>
        <w:gridCol w:w="1262"/>
        <w:gridCol w:w="218"/>
        <w:gridCol w:w="449"/>
        <w:gridCol w:w="931"/>
        <w:gridCol w:w="233"/>
        <w:gridCol w:w="1135"/>
        <w:gridCol w:w="642"/>
        <w:gridCol w:w="276"/>
        <w:gridCol w:w="1175"/>
        <w:gridCol w:w="325"/>
        <w:gridCol w:w="1442"/>
      </w:tblGrid>
      <w:tr>
        <w:tblPrEx>
          <w:tblLayout w:type="fixed"/>
          <w:tblCellMar>
            <w:top w:w="0" w:type="dxa"/>
            <w:left w:w="108" w:type="dxa"/>
            <w:bottom w:w="0" w:type="dxa"/>
            <w:right w:w="108" w:type="dxa"/>
          </w:tblCellMar>
        </w:tblPrEx>
        <w:trPr>
          <w:trHeight w:val="527" w:hRule="atLeast"/>
        </w:trPr>
        <w:tc>
          <w:tcPr>
            <w:tcW w:w="9486" w:type="dxa"/>
            <w:gridSpan w:val="13"/>
            <w:tcBorders>
              <w:top w:val="nil"/>
              <w:left w:val="nil"/>
              <w:bottom w:val="single" w:color="auto" w:sz="8" w:space="0"/>
              <w:right w:val="nil"/>
            </w:tcBorders>
            <w:vAlign w:val="center"/>
          </w:tcPr>
          <w:p>
            <w:pPr>
              <w:jc w:val="center"/>
              <w:rPr>
                <w:rFonts w:ascii="方正小标宋简体" w:hAnsi="仿宋" w:eastAsia="方正小标宋简体" w:cs="黑体"/>
                <w:b/>
                <w:sz w:val="44"/>
                <w:szCs w:val="44"/>
              </w:rPr>
            </w:pPr>
            <w:r>
              <w:rPr>
                <w:rFonts w:hint="eastAsia" w:ascii="方正小标宋简体" w:hAnsi="仿宋" w:eastAsia="方正小标宋简体" w:cs="黑体"/>
                <w:sz w:val="44"/>
                <w:szCs w:val="44"/>
                <w:lang w:bidi="ar"/>
              </w:rPr>
              <w:t>“中国青创板”项目（企业）申请挂牌信息表</w:t>
            </w:r>
          </w:p>
        </w:tc>
      </w:tr>
      <w:tr>
        <w:tblPrEx>
          <w:tblLayout w:type="fixed"/>
          <w:tblCellMar>
            <w:top w:w="0" w:type="dxa"/>
            <w:left w:w="108" w:type="dxa"/>
            <w:bottom w:w="0" w:type="dxa"/>
            <w:right w:w="108" w:type="dxa"/>
          </w:tblCellMar>
        </w:tblPrEx>
        <w:trPr>
          <w:trHeight w:val="539" w:hRule="atLeast"/>
        </w:trPr>
        <w:tc>
          <w:tcPr>
            <w:tcW w:w="9486" w:type="dxa"/>
            <w:gridSpan w:val="13"/>
            <w:tcBorders>
              <w:top w:val="single" w:color="auto" w:sz="8" w:space="0"/>
              <w:left w:val="single" w:color="auto" w:sz="8" w:space="0"/>
              <w:bottom w:val="single" w:color="auto" w:sz="4" w:space="0"/>
              <w:right w:val="single" w:color="000000" w:sz="8" w:space="0"/>
            </w:tcBorders>
            <w:vAlign w:val="center"/>
          </w:tcPr>
          <w:p>
            <w:pPr>
              <w:widowControl/>
              <w:jc w:val="center"/>
              <w:rPr>
                <w:rFonts w:ascii="仿宋" w:hAnsi="仿宋" w:eastAsia="仿宋" w:cs="宋体"/>
                <w:b/>
                <w:kern w:val="0"/>
                <w:sz w:val="24"/>
              </w:rPr>
            </w:pPr>
            <w:r>
              <w:rPr>
                <w:rFonts w:hint="eastAsia" w:ascii="黑体" w:eastAsia="黑体" w:cs="黑体"/>
                <w:kern w:val="0"/>
                <w:sz w:val="32"/>
                <w:szCs w:val="32"/>
                <w:lang w:bidi="ar"/>
              </w:rPr>
              <w:t>基本情况</w:t>
            </w: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企业/项目名称</w:t>
            </w:r>
          </w:p>
        </w:tc>
        <w:tc>
          <w:tcPr>
            <w:tcW w:w="8105" w:type="dxa"/>
            <w:gridSpan w:val="12"/>
            <w:tcBorders>
              <w:top w:val="single" w:color="auto" w:sz="4" w:space="0"/>
              <w:left w:val="nil"/>
              <w:bottom w:val="single" w:color="auto" w:sz="4" w:space="0"/>
              <w:right w:val="single" w:color="000000" w:sz="8" w:space="0"/>
            </w:tcBorders>
            <w:vAlign w:val="center"/>
          </w:tcPr>
          <w:p>
            <w:pPr>
              <w:widowControl/>
              <w:jc w:val="right"/>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注册地址</w:t>
            </w:r>
          </w:p>
        </w:tc>
        <w:tc>
          <w:tcPr>
            <w:tcW w:w="5163" w:type="dxa"/>
            <w:gridSpan w:val="9"/>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企业人数</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注册资本</w:t>
            </w:r>
          </w:p>
        </w:tc>
        <w:tc>
          <w:tcPr>
            <w:tcW w:w="5163" w:type="dxa"/>
            <w:gridSpan w:val="9"/>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行业类别</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法定代表人</w:t>
            </w:r>
          </w:p>
        </w:tc>
        <w:tc>
          <w:tcPr>
            <w:tcW w:w="1279"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6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职务</w:t>
            </w:r>
          </w:p>
        </w:tc>
        <w:tc>
          <w:tcPr>
            <w:tcW w:w="1164" w:type="dxa"/>
            <w:gridSpan w:val="2"/>
            <w:tcBorders>
              <w:top w:val="nil"/>
              <w:left w:val="nil"/>
              <w:bottom w:val="nil"/>
              <w:right w:val="nil"/>
            </w:tcBorders>
            <w:vAlign w:val="center"/>
          </w:tcPr>
          <w:p>
            <w:pPr>
              <w:widowControl/>
              <w:jc w:val="left"/>
              <w:rPr>
                <w:rFonts w:ascii="仿宋" w:hAnsi="仿宋" w:eastAsia="仿宋" w:cs="宋体"/>
                <w:kern w:val="0"/>
                <w:sz w:val="22"/>
                <w:szCs w:val="22"/>
              </w:rPr>
            </w:pPr>
          </w:p>
        </w:tc>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联系电话</w:t>
            </w:r>
          </w:p>
        </w:tc>
        <w:tc>
          <w:tcPr>
            <w:tcW w:w="918"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电子邮箱</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主要联系人</w:t>
            </w:r>
          </w:p>
        </w:tc>
        <w:tc>
          <w:tcPr>
            <w:tcW w:w="1279"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6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职务</w:t>
            </w:r>
          </w:p>
        </w:tc>
        <w:tc>
          <w:tcPr>
            <w:tcW w:w="1164"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113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联系电话</w:t>
            </w:r>
          </w:p>
        </w:tc>
        <w:tc>
          <w:tcPr>
            <w:tcW w:w="918"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电子邮箱</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ascii="仿宋" w:hAnsi="仿宋" w:eastAsia="仿宋" w:cs="宋体"/>
                <w:kern w:val="0"/>
                <w:sz w:val="22"/>
                <w:szCs w:val="22"/>
                <w:lang w:bidi="ar"/>
              </w:rPr>
              <w:t>知识产权</w:t>
            </w:r>
          </w:p>
          <w:p>
            <w:pPr>
              <w:widowControl/>
              <w:jc w:val="center"/>
              <w:rPr>
                <w:rFonts w:ascii="仿宋" w:hAnsi="仿宋" w:eastAsia="仿宋" w:cs="宋体"/>
                <w:kern w:val="0"/>
                <w:sz w:val="22"/>
                <w:szCs w:val="22"/>
              </w:rPr>
            </w:pPr>
            <w:r>
              <w:rPr>
                <w:rFonts w:ascii="仿宋" w:hAnsi="仿宋" w:eastAsia="仿宋" w:cs="宋体"/>
                <w:kern w:val="0"/>
                <w:sz w:val="22"/>
                <w:szCs w:val="22"/>
                <w:lang w:bidi="ar"/>
              </w:rPr>
              <w:t>类型</w:t>
            </w:r>
          </w:p>
        </w:tc>
        <w:tc>
          <w:tcPr>
            <w:tcW w:w="4245" w:type="dxa"/>
            <w:gridSpan w:val="7"/>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ascii="仿宋" w:hAnsi="仿宋" w:eastAsia="仿宋" w:cs="宋体"/>
                <w:kern w:val="0"/>
                <w:sz w:val="22"/>
                <w:szCs w:val="22"/>
                <w:lang w:bidi="ar"/>
              </w:rPr>
              <w:t xml:space="preserve">□商标     □专利     □软件著作权     □版权     □其他  </w:t>
            </w:r>
          </w:p>
        </w:tc>
        <w:tc>
          <w:tcPr>
            <w:tcW w:w="2418"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是否高新技术企业</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□是 □否</w:t>
            </w:r>
          </w:p>
        </w:tc>
      </w:tr>
      <w:tr>
        <w:tblPrEx>
          <w:tblLayout w:type="fixed"/>
          <w:tblCellMar>
            <w:top w:w="0" w:type="dxa"/>
            <w:left w:w="108" w:type="dxa"/>
            <w:bottom w:w="0" w:type="dxa"/>
            <w:right w:w="108" w:type="dxa"/>
          </w:tblCellMar>
        </w:tblPrEx>
        <w:trPr>
          <w:trHeight w:val="410"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主营业务</w:t>
            </w:r>
          </w:p>
        </w:tc>
        <w:tc>
          <w:tcPr>
            <w:tcW w:w="8105" w:type="dxa"/>
            <w:gridSpan w:val="12"/>
            <w:tcBorders>
              <w:top w:val="single" w:color="auto" w:sz="4" w:space="0"/>
              <w:left w:val="nil"/>
              <w:bottom w:val="single" w:color="auto" w:sz="4" w:space="0"/>
              <w:right w:val="single" w:color="000000" w:sz="8" w:space="0"/>
            </w:tcBorders>
            <w:vAlign w:val="center"/>
          </w:tcPr>
          <w:p>
            <w:pPr>
              <w:widowControl/>
              <w:rPr>
                <w:rFonts w:ascii="仿宋" w:hAnsi="仿宋" w:eastAsia="仿宋" w:cs="宋体"/>
                <w:kern w:val="0"/>
                <w:sz w:val="22"/>
                <w:szCs w:val="22"/>
              </w:rPr>
            </w:pPr>
          </w:p>
          <w:p>
            <w:pPr>
              <w:widowControl/>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351" w:hRule="atLeast"/>
        </w:trPr>
        <w:tc>
          <w:tcPr>
            <w:tcW w:w="9486" w:type="dxa"/>
            <w:gridSpan w:val="13"/>
            <w:vMerge w:val="restart"/>
            <w:tcBorders>
              <w:top w:val="single" w:color="auto" w:sz="4" w:space="0"/>
              <w:left w:val="single" w:color="auto" w:sz="8" w:space="0"/>
              <w:bottom w:val="single" w:color="000000" w:sz="8" w:space="0"/>
              <w:right w:val="single" w:color="000000" w:sz="8" w:space="0"/>
            </w:tcBorders>
          </w:tcPr>
          <w:p>
            <w:pPr>
              <w:jc w:val="left"/>
              <w:rPr>
                <w:rFonts w:ascii="仿宋" w:hAnsi="仿宋" w:eastAsia="仿宋" w:cs="宋体"/>
                <w:kern w:val="0"/>
                <w:sz w:val="20"/>
                <w:szCs w:val="20"/>
              </w:rPr>
            </w:pPr>
            <w:r>
              <w:rPr>
                <w:rFonts w:ascii="仿宋" w:hAnsi="仿宋" w:eastAsia="仿宋" w:cs="仿宋"/>
                <w:kern w:val="0"/>
                <w:sz w:val="28"/>
                <w:szCs w:val="28"/>
                <w:lang w:bidi="ar"/>
              </w:rPr>
              <w:t>项目简介：</w:t>
            </w:r>
          </w:p>
          <w:p>
            <w:pPr>
              <w:jc w:val="left"/>
              <w:rPr>
                <w:rFonts w:ascii="仿宋" w:hAnsi="仿宋" w:eastAsia="仿宋" w:cs="宋体"/>
                <w:kern w:val="0"/>
                <w:sz w:val="20"/>
                <w:szCs w:val="20"/>
              </w:rPr>
            </w:pPr>
          </w:p>
          <w:p>
            <w:pPr>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51" w:hRule="atLeast"/>
        </w:trPr>
        <w:tc>
          <w:tcPr>
            <w:tcW w:w="9486" w:type="dxa"/>
            <w:gridSpan w:val="13"/>
            <w:vMerge w:val="continue"/>
            <w:tcBorders>
              <w:top w:val="single" w:color="auto" w:sz="4" w:space="0"/>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312" w:hRule="atLeast"/>
        </w:trPr>
        <w:tc>
          <w:tcPr>
            <w:tcW w:w="9486" w:type="dxa"/>
            <w:gridSpan w:val="13"/>
            <w:vMerge w:val="continue"/>
            <w:tcBorders>
              <w:top w:val="single" w:color="auto" w:sz="4" w:space="0"/>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624" w:hRule="atLeast"/>
        </w:trPr>
        <w:tc>
          <w:tcPr>
            <w:tcW w:w="9486" w:type="dxa"/>
            <w:gridSpan w:val="13"/>
            <w:vMerge w:val="restart"/>
            <w:tcBorders>
              <w:top w:val="nil"/>
              <w:left w:val="single" w:color="auto" w:sz="8" w:space="0"/>
              <w:bottom w:val="single" w:color="000000" w:sz="8"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商业模式：</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624" w:hRule="atLeast"/>
        </w:trPr>
        <w:tc>
          <w:tcPr>
            <w:tcW w:w="9486" w:type="dxa"/>
            <w:gridSpan w:val="13"/>
            <w:vMerge w:val="continue"/>
            <w:tcBorders>
              <w:top w:val="nil"/>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351" w:hRule="atLeast"/>
        </w:trPr>
        <w:tc>
          <w:tcPr>
            <w:tcW w:w="9486" w:type="dxa"/>
            <w:gridSpan w:val="13"/>
            <w:vMerge w:val="continue"/>
            <w:tcBorders>
              <w:top w:val="nil"/>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2516" w:hRule="atLeast"/>
        </w:trPr>
        <w:tc>
          <w:tcPr>
            <w:tcW w:w="9486" w:type="dxa"/>
            <w:gridSpan w:val="13"/>
            <w:tcBorders>
              <w:top w:val="single" w:color="auto" w:sz="4" w:space="0"/>
              <w:left w:val="single" w:color="auto" w:sz="8" w:space="0"/>
              <w:bottom w:val="single" w:color="auto" w:sz="4" w:space="0"/>
              <w:right w:val="single" w:color="000000" w:sz="8" w:space="0"/>
            </w:tcBorders>
          </w:tcPr>
          <w:p>
            <w:pPr>
              <w:rPr>
                <w:rFonts w:ascii="仿宋" w:hAnsi="仿宋" w:eastAsia="仿宋" w:cs="仿宋"/>
                <w:kern w:val="0"/>
                <w:sz w:val="28"/>
                <w:szCs w:val="28"/>
              </w:rPr>
            </w:pPr>
            <w:r>
              <w:rPr>
                <w:rFonts w:ascii="仿宋" w:hAnsi="仿宋" w:eastAsia="仿宋" w:cs="仿宋"/>
                <w:kern w:val="0"/>
                <w:sz w:val="28"/>
                <w:szCs w:val="28"/>
                <w:lang w:bidi="ar"/>
              </w:rPr>
              <w:t>核心竞争力：</w:t>
            </w: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tc>
      </w:tr>
      <w:tr>
        <w:tblPrEx>
          <w:tblLayout w:type="fixed"/>
          <w:tblCellMar>
            <w:top w:w="0" w:type="dxa"/>
            <w:left w:w="108" w:type="dxa"/>
            <w:bottom w:w="0" w:type="dxa"/>
            <w:right w:w="108" w:type="dxa"/>
          </w:tblCellMar>
        </w:tblPrEx>
        <w:trPr>
          <w:trHeight w:val="2137" w:hRule="atLeast"/>
        </w:trPr>
        <w:tc>
          <w:tcPr>
            <w:tcW w:w="9486" w:type="dxa"/>
            <w:gridSpan w:val="13"/>
            <w:tcBorders>
              <w:top w:val="single" w:color="auto" w:sz="4" w:space="0"/>
              <w:left w:val="single" w:color="auto" w:sz="8" w:space="0"/>
              <w:bottom w:val="single" w:color="auto" w:sz="4"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未来规划：</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2630" w:hRule="atLeast"/>
        </w:trPr>
        <w:tc>
          <w:tcPr>
            <w:tcW w:w="9486" w:type="dxa"/>
            <w:gridSpan w:val="13"/>
            <w:tcBorders>
              <w:top w:val="single" w:color="auto" w:sz="4" w:space="0"/>
              <w:left w:val="single" w:color="auto" w:sz="8" w:space="0"/>
              <w:bottom w:val="single" w:color="auto" w:sz="4"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获得荣誉：</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90" w:hRule="atLeast"/>
        </w:trPr>
        <w:tc>
          <w:tcPr>
            <w:tcW w:w="9486" w:type="dxa"/>
            <w:gridSpan w:val="13"/>
            <w:tcBorders>
              <w:top w:val="single" w:color="auto" w:sz="4" w:space="0"/>
              <w:left w:val="single" w:color="auto" w:sz="8" w:space="0"/>
              <w:bottom w:val="single" w:color="auto" w:sz="4"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经营情况：</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524" w:hRule="atLeast"/>
        </w:trPr>
        <w:tc>
          <w:tcPr>
            <w:tcW w:w="9486" w:type="dxa"/>
            <w:gridSpan w:val="13"/>
            <w:tcBorders>
              <w:top w:val="single" w:color="auto" w:sz="4" w:space="0"/>
              <w:left w:val="single" w:color="auto" w:sz="4" w:space="0"/>
              <w:bottom w:val="single" w:color="auto" w:sz="4" w:space="0"/>
              <w:right w:val="single" w:color="auto" w:sz="4" w:space="0"/>
            </w:tcBorders>
            <w:vAlign w:val="center"/>
          </w:tcPr>
          <w:p>
            <w:pPr>
              <w:pStyle w:val="6"/>
              <w:widowControl/>
              <w:ind w:firstLine="0" w:firstLineChars="0"/>
              <w:jc w:val="center"/>
              <w:rPr>
                <w:rFonts w:ascii="仿宋" w:hAnsi="仿宋" w:eastAsia="仿宋" w:cs="宋体"/>
                <w:kern w:val="0"/>
                <w:sz w:val="24"/>
                <w:szCs w:val="24"/>
              </w:rPr>
            </w:pPr>
            <w:r>
              <w:rPr>
                <w:rFonts w:hint="eastAsia" w:ascii="黑体" w:eastAsia="黑体" w:cs="黑体"/>
                <w:kern w:val="0"/>
                <w:sz w:val="28"/>
                <w:szCs w:val="28"/>
              </w:rPr>
              <w:t>团队基本信息</w:t>
            </w:r>
          </w:p>
        </w:tc>
      </w:tr>
      <w:tr>
        <w:tblPrEx>
          <w:tblLayout w:type="fixed"/>
          <w:tblCellMar>
            <w:top w:w="0" w:type="dxa"/>
            <w:left w:w="108" w:type="dxa"/>
            <w:bottom w:w="0" w:type="dxa"/>
            <w:right w:w="108" w:type="dxa"/>
          </w:tblCellMar>
        </w:tblPrEx>
        <w:trPr>
          <w:trHeight w:val="608"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学    校</w:t>
            </w:r>
          </w:p>
        </w:tc>
        <w:tc>
          <w:tcPr>
            <w:tcW w:w="4870" w:type="dxa"/>
            <w:gridSpan w:val="7"/>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团队人数</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749" w:hRule="atLeast"/>
        </w:trPr>
        <w:tc>
          <w:tcPr>
            <w:tcW w:w="139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项目</w:t>
            </w:r>
          </w:p>
          <w:p>
            <w:pPr>
              <w:widowControl/>
              <w:jc w:val="center"/>
              <w:rPr>
                <w:rFonts w:ascii="楷体" w:hAnsi="楷体" w:eastAsia="楷体" w:cs="楷体"/>
                <w:kern w:val="0"/>
                <w:sz w:val="24"/>
              </w:rPr>
            </w:pPr>
            <w:r>
              <w:rPr>
                <w:rFonts w:ascii="楷体" w:hAnsi="楷体" w:eastAsia="楷体" w:cs="楷体"/>
                <w:kern w:val="0"/>
                <w:sz w:val="24"/>
                <w:lang w:bidi="ar"/>
              </w:rPr>
              <w:t>负责人</w:t>
            </w:r>
          </w:p>
        </w:tc>
        <w:tc>
          <w:tcPr>
            <w:tcW w:w="1480" w:type="dxa"/>
            <w:gridSpan w:val="2"/>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联系电话</w:t>
            </w:r>
          </w:p>
        </w:tc>
        <w:tc>
          <w:tcPr>
            <w:tcW w:w="2010" w:type="dxa"/>
            <w:gridSpan w:val="3"/>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电子邮箱</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579" w:hRule="atLeast"/>
        </w:trPr>
        <w:tc>
          <w:tcPr>
            <w:tcW w:w="1398"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80" w:type="dxa"/>
            <w:gridSpan w:val="2"/>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QQ</w:t>
            </w:r>
          </w:p>
        </w:tc>
        <w:tc>
          <w:tcPr>
            <w:tcW w:w="2010" w:type="dxa"/>
            <w:gridSpan w:val="3"/>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微信</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570" w:hRule="atLeast"/>
        </w:trPr>
        <w:tc>
          <w:tcPr>
            <w:tcW w:w="139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主要</w:t>
            </w:r>
          </w:p>
          <w:p>
            <w:pPr>
              <w:widowControl/>
              <w:jc w:val="center"/>
              <w:rPr>
                <w:rFonts w:ascii="楷体" w:hAnsi="楷体" w:eastAsia="楷体" w:cs="楷体"/>
                <w:kern w:val="0"/>
                <w:sz w:val="24"/>
              </w:rPr>
            </w:pPr>
            <w:r>
              <w:rPr>
                <w:rFonts w:ascii="楷体" w:hAnsi="楷体" w:eastAsia="楷体" w:cs="楷体"/>
                <w:kern w:val="0"/>
                <w:sz w:val="24"/>
                <w:lang w:bidi="ar"/>
              </w:rPr>
              <w:t>联系人</w:t>
            </w:r>
          </w:p>
        </w:tc>
        <w:tc>
          <w:tcPr>
            <w:tcW w:w="1480" w:type="dxa"/>
            <w:gridSpan w:val="2"/>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联系电话</w:t>
            </w:r>
          </w:p>
        </w:tc>
        <w:tc>
          <w:tcPr>
            <w:tcW w:w="2010" w:type="dxa"/>
            <w:gridSpan w:val="3"/>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电子邮箱</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570" w:hRule="atLeast"/>
        </w:trPr>
        <w:tc>
          <w:tcPr>
            <w:tcW w:w="1398"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80" w:type="dxa"/>
            <w:gridSpan w:val="2"/>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QQ</w:t>
            </w:r>
          </w:p>
        </w:tc>
        <w:tc>
          <w:tcPr>
            <w:tcW w:w="2010"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微信</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1992" w:hRule="atLeast"/>
        </w:trPr>
        <w:tc>
          <w:tcPr>
            <w:tcW w:w="9486" w:type="dxa"/>
            <w:gridSpan w:val="13"/>
            <w:tcBorders>
              <w:top w:val="single" w:color="auto" w:sz="4" w:space="0"/>
              <w:left w:val="single" w:color="auto" w:sz="4" w:space="0"/>
              <w:bottom w:val="single" w:color="auto" w:sz="4" w:space="0"/>
              <w:right w:val="single" w:color="auto" w:sz="4" w:space="0"/>
            </w:tcBorders>
          </w:tcPr>
          <w:p>
            <w:pPr>
              <w:widowControl/>
              <w:rPr>
                <w:rFonts w:ascii="楷体" w:hAnsi="楷体" w:eastAsia="楷体" w:cs="楷体"/>
                <w:kern w:val="0"/>
                <w:sz w:val="28"/>
                <w:szCs w:val="28"/>
              </w:rPr>
            </w:pPr>
            <w:r>
              <w:rPr>
                <w:rFonts w:ascii="楷体" w:hAnsi="楷体" w:eastAsia="楷体" w:cs="楷体"/>
                <w:kern w:val="0"/>
                <w:sz w:val="28"/>
                <w:szCs w:val="28"/>
                <w:lang w:bidi="ar"/>
              </w:rPr>
              <w:t xml:space="preserve">主要负责人（法人）签名确认或加盖企业公章：                        </w:t>
            </w:r>
          </w:p>
          <w:p>
            <w:pPr>
              <w:widowControl/>
              <w:rPr>
                <w:rFonts w:ascii="楷体" w:hAnsi="楷体" w:eastAsia="楷体" w:cs="楷体"/>
                <w:kern w:val="0"/>
                <w:sz w:val="28"/>
                <w:szCs w:val="28"/>
              </w:rPr>
            </w:pPr>
            <w:r>
              <w:rPr>
                <w:rFonts w:ascii="楷体" w:hAnsi="楷体" w:eastAsia="楷体" w:cs="楷体"/>
                <w:kern w:val="0"/>
                <w:sz w:val="28"/>
                <w:szCs w:val="28"/>
                <w:lang w:bidi="ar"/>
              </w:rPr>
              <w:t xml:space="preserve">                                               </w:t>
            </w:r>
          </w:p>
          <w:p>
            <w:pPr>
              <w:widowControl/>
              <w:rPr>
                <w:rFonts w:ascii="楷体" w:hAnsi="楷体" w:eastAsia="楷体" w:cs="楷体"/>
                <w:kern w:val="0"/>
                <w:sz w:val="28"/>
                <w:szCs w:val="28"/>
              </w:rPr>
            </w:pPr>
            <w:r>
              <w:rPr>
                <w:rFonts w:ascii="楷体" w:hAnsi="楷体" w:eastAsia="楷体" w:cs="楷体"/>
                <w:kern w:val="0"/>
                <w:sz w:val="28"/>
                <w:szCs w:val="28"/>
                <w:lang w:bidi="ar"/>
              </w:rPr>
              <w:t xml:space="preserve">                                               年    月    日</w:t>
            </w:r>
          </w:p>
        </w:tc>
      </w:tr>
    </w:tbl>
    <w:p>
      <w:pPr>
        <w:spacing w:line="500" w:lineRule="exact"/>
        <w:rPr>
          <w:rFonts w:ascii="Times New Roman" w:hAnsi="Times New Roman" w:eastAsia="仿宋_GB2312" w:cs="仿宋_GB2312"/>
          <w:sz w:val="32"/>
          <w:szCs w:val="32"/>
        </w:rPr>
      </w:pPr>
    </w:p>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79"/>
    <w:rsid w:val="0044765D"/>
    <w:rsid w:val="00D32B79"/>
    <w:rsid w:val="7279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paragraph" w:customStyle="1" w:styleId="5">
    <w:name w:val="列出段落1"/>
    <w:basedOn w:val="1"/>
    <w:qFormat/>
    <w:uiPriority w:val="0"/>
    <w:pPr>
      <w:ind w:firstLine="420" w:firstLineChars="200"/>
    </w:pPr>
    <w:rPr>
      <w:rFonts w:cs="黑体"/>
      <w:szCs w:val="21"/>
    </w:rPr>
  </w:style>
  <w:style w:type="paragraph" w:customStyle="1" w:styleId="6">
    <w:name w:val="列出段落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528</Words>
  <Characters>3014</Characters>
  <Lines>25</Lines>
  <Paragraphs>7</Paragraphs>
  <ScaleCrop>false</ScaleCrop>
  <LinksUpToDate>false</LinksUpToDate>
  <CharactersWithSpaces>3535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2018-03-07T07:36:00Z</dcterms:created>
  <dc:creator>许钊钿</dc:creator>
  <cp:lastModifiedBy>lenovo</cp:lastModifiedBy>
  <dcterms:modified xsi:type="dcterms:W3CDTF">2018-03-08T05:07:47Z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