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88" w:rsidRDefault="00BC1888" w:rsidP="00BC1888">
      <w:pPr>
        <w:autoSpaceDE w:val="0"/>
        <w:autoSpaceDN w:val="0"/>
        <w:adjustRightInd w:val="0"/>
        <w:jc w:val="left"/>
        <w:rPr>
          <w:rFonts w:asciiTheme="minorEastAsia" w:hAnsiTheme="minorEastAsia" w:cs="AdobeHeitiStd-Regular" w:hint="eastAsia"/>
          <w:b/>
          <w:kern w:val="0"/>
          <w:sz w:val="32"/>
          <w:szCs w:val="32"/>
        </w:rPr>
      </w:pPr>
      <w:r>
        <w:rPr>
          <w:rFonts w:asciiTheme="minorEastAsia" w:hAnsiTheme="minorEastAsia" w:cs="AdobeHeitiStd-Regular" w:hint="eastAsia"/>
          <w:b/>
          <w:kern w:val="0"/>
          <w:sz w:val="32"/>
          <w:szCs w:val="32"/>
        </w:rPr>
        <w:t>附件：</w:t>
      </w:r>
    </w:p>
    <w:p w:rsidR="00BC1888" w:rsidRDefault="00BC1888" w:rsidP="00BC1888">
      <w:pPr>
        <w:autoSpaceDE w:val="0"/>
        <w:autoSpaceDN w:val="0"/>
        <w:adjustRightInd w:val="0"/>
        <w:ind w:firstLineChars="400" w:firstLine="1285"/>
        <w:jc w:val="left"/>
        <w:rPr>
          <w:rFonts w:asciiTheme="minorEastAsia" w:hAnsiTheme="minorEastAsia" w:cs="AdobeHeitiStd-Regular" w:hint="eastAsia"/>
          <w:b/>
          <w:kern w:val="0"/>
          <w:sz w:val="32"/>
          <w:szCs w:val="32"/>
        </w:rPr>
      </w:pPr>
    </w:p>
    <w:p w:rsidR="00F810CF" w:rsidRDefault="00A566D3">
      <w:pPr>
        <w:autoSpaceDE w:val="0"/>
        <w:autoSpaceDN w:val="0"/>
        <w:adjustRightInd w:val="0"/>
        <w:ind w:firstLineChars="400" w:firstLine="1285"/>
        <w:jc w:val="left"/>
        <w:rPr>
          <w:rFonts w:asciiTheme="minorEastAsia" w:hAnsiTheme="minorEastAsia" w:cs="AdobeHeitiStd-Regular"/>
          <w:b/>
          <w:kern w:val="0"/>
          <w:sz w:val="32"/>
          <w:szCs w:val="32"/>
        </w:rPr>
      </w:pPr>
      <w:r>
        <w:rPr>
          <w:rFonts w:asciiTheme="minorEastAsia" w:hAnsiTheme="minorEastAsia" w:cs="AdobeHeitiStd-Regular" w:hint="eastAsia"/>
          <w:b/>
          <w:kern w:val="0"/>
          <w:sz w:val="32"/>
          <w:szCs w:val="32"/>
        </w:rPr>
        <w:t>高校图书馆阅读推广活动形式与内容</w:t>
      </w:r>
    </w:p>
    <w:p w:rsidR="00F810CF" w:rsidRDefault="00A566D3">
      <w:pPr>
        <w:autoSpaceDE w:val="0"/>
        <w:autoSpaceDN w:val="0"/>
        <w:adjustRightInd w:val="0"/>
        <w:spacing w:line="360" w:lineRule="auto"/>
        <w:ind w:firstLineChars="200" w:firstLine="560"/>
        <w:jc w:val="left"/>
        <w:rPr>
          <w:rFonts w:asciiTheme="majorEastAsia" w:eastAsiaTheme="majorEastAsia" w:hAnsiTheme="majorEastAsia" w:cs="AdobeHeitiStd-Regular"/>
          <w:kern w:val="0"/>
          <w:sz w:val="28"/>
          <w:szCs w:val="28"/>
        </w:rPr>
      </w:pPr>
      <w:r>
        <w:rPr>
          <w:rFonts w:asciiTheme="majorEastAsia" w:eastAsiaTheme="majorEastAsia" w:hAnsiTheme="majorEastAsia" w:cs="AdobeHeitiStd-Regular" w:hint="eastAsia"/>
          <w:kern w:val="0"/>
          <w:sz w:val="28"/>
          <w:szCs w:val="28"/>
        </w:rPr>
        <w:t>1.阅读</w:t>
      </w:r>
      <w:r>
        <w:rPr>
          <w:rFonts w:asciiTheme="majorEastAsia" w:eastAsiaTheme="majorEastAsia" w:hAnsiTheme="majorEastAsia" w:cs="AdobeHeitiStd-Regular"/>
          <w:kern w:val="0"/>
          <w:sz w:val="28"/>
          <w:szCs w:val="28"/>
        </w:rPr>
        <w:t>推广的含义</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阅读推广是图书馆、出版机构、媒体、网络、</w:t>
      </w:r>
      <w:r w:rsidR="00787957">
        <w:rPr>
          <w:rFonts w:asciiTheme="minorEastAsia" w:hAnsiTheme="minorEastAsia" w:cs="AdobeHeitiStd-Regular" w:hint="eastAsia"/>
          <w:kern w:val="0"/>
          <w:sz w:val="24"/>
          <w:szCs w:val="24"/>
        </w:rPr>
        <w:t>政府及相关部门等为培养读者阅读习惯、激发阅读兴趣、提升阅读水平而</w:t>
      </w:r>
      <w:r>
        <w:rPr>
          <w:rFonts w:asciiTheme="minorEastAsia" w:hAnsiTheme="minorEastAsia" w:cs="AdobeHeitiStd-Regular" w:hint="eastAsia"/>
          <w:kern w:val="0"/>
          <w:sz w:val="24"/>
          <w:szCs w:val="24"/>
        </w:rPr>
        <w:t>采取的提供阅读资源、创造阅读</w:t>
      </w:r>
      <w:r w:rsidR="00787957">
        <w:rPr>
          <w:rFonts w:asciiTheme="minorEastAsia" w:hAnsiTheme="minorEastAsia" w:cs="AdobeHeitiStd-Regular" w:hint="eastAsia"/>
          <w:kern w:val="0"/>
          <w:sz w:val="24"/>
          <w:szCs w:val="24"/>
        </w:rPr>
        <w:t>环境、推介阅读服务、传播阅读理念、开展阅读指导、鼓励阅读交流等</w:t>
      </w:r>
      <w:r>
        <w:rPr>
          <w:rFonts w:asciiTheme="minorEastAsia" w:hAnsiTheme="minorEastAsia" w:cs="AdobeHeitiStd-Regular" w:hint="eastAsia"/>
          <w:kern w:val="0"/>
          <w:sz w:val="24"/>
          <w:szCs w:val="24"/>
        </w:rPr>
        <w:t>一切活动和工作的总和。</w:t>
      </w:r>
    </w:p>
    <w:p w:rsidR="00F810CF" w:rsidRDefault="00A566D3">
      <w:pPr>
        <w:autoSpaceDE w:val="0"/>
        <w:autoSpaceDN w:val="0"/>
        <w:adjustRightInd w:val="0"/>
        <w:spacing w:line="360" w:lineRule="auto"/>
        <w:ind w:firstLineChars="200" w:firstLine="560"/>
        <w:jc w:val="left"/>
        <w:rPr>
          <w:rFonts w:asciiTheme="majorEastAsia" w:eastAsiaTheme="majorEastAsia" w:hAnsiTheme="majorEastAsia" w:cs="AdobeHeitiStd-Regular"/>
          <w:kern w:val="0"/>
          <w:sz w:val="28"/>
          <w:szCs w:val="28"/>
        </w:rPr>
      </w:pPr>
      <w:r>
        <w:rPr>
          <w:rFonts w:asciiTheme="majorEastAsia" w:eastAsiaTheme="majorEastAsia" w:hAnsiTheme="majorEastAsia" w:cs="AdobeHeitiStd-Regular" w:hint="eastAsia"/>
          <w:kern w:val="0"/>
          <w:sz w:val="28"/>
          <w:szCs w:val="28"/>
        </w:rPr>
        <w:t>2.常见的</w:t>
      </w:r>
      <w:r>
        <w:rPr>
          <w:rFonts w:asciiTheme="majorEastAsia" w:eastAsiaTheme="majorEastAsia" w:hAnsiTheme="majorEastAsia" w:cs="AdobeHeitiStd-Regular"/>
          <w:kern w:val="0"/>
          <w:sz w:val="28"/>
          <w:szCs w:val="28"/>
        </w:rPr>
        <w:t>阅读推广活动形式</w:t>
      </w:r>
    </w:p>
    <w:p w:rsidR="00F810CF" w:rsidRDefault="00A566D3">
      <w:pPr>
        <w:autoSpaceDE w:val="0"/>
        <w:autoSpaceDN w:val="0"/>
        <w:adjustRightInd w:val="0"/>
        <w:spacing w:line="360" w:lineRule="auto"/>
        <w:ind w:firstLineChars="200" w:firstLine="482"/>
        <w:jc w:val="left"/>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w:t>
      </w:r>
      <w:r>
        <w:rPr>
          <w:rFonts w:asciiTheme="minorEastAsia" w:hAnsiTheme="minorEastAsia" w:cs="AdobeHeitiStd-Regular"/>
          <w:b/>
          <w:kern w:val="0"/>
          <w:sz w:val="24"/>
          <w:szCs w:val="24"/>
        </w:rPr>
        <w:t>1</w:t>
      </w:r>
      <w:r>
        <w:rPr>
          <w:rFonts w:asciiTheme="minorEastAsia" w:hAnsiTheme="minorEastAsia" w:cs="AdobeHeitiStd-Regular" w:hint="eastAsia"/>
          <w:b/>
          <w:kern w:val="0"/>
          <w:sz w:val="24"/>
          <w:szCs w:val="24"/>
        </w:rPr>
        <w:t>）图书推荐</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高校图书馆通过制作专题书目</w:t>
      </w:r>
      <w:r>
        <w:rPr>
          <w:rFonts w:asciiTheme="minorEastAsia" w:hAnsiTheme="minorEastAsia" w:cs="AdobeHeitiStd-Regular"/>
          <w:kern w:val="0"/>
          <w:sz w:val="24"/>
          <w:szCs w:val="24"/>
        </w:rPr>
        <w:t>等</w:t>
      </w:r>
      <w:r>
        <w:rPr>
          <w:rFonts w:asciiTheme="minorEastAsia" w:hAnsiTheme="minorEastAsia" w:cs="AdobeHeitiStd-Regular" w:hint="eastAsia"/>
          <w:kern w:val="0"/>
          <w:sz w:val="24"/>
          <w:szCs w:val="24"/>
        </w:rPr>
        <w:t>方式开展向读者推荐图书的活动，能够使读者了解图书馆馆藏有价值的图书，进行有针对性地阅读；同时，读者将读过的好书推荐给其他读者，能够使大家共同分享好书，共同进步。</w:t>
      </w:r>
    </w:p>
    <w:p w:rsidR="00F810CF" w:rsidRDefault="00A566D3">
      <w:pPr>
        <w:autoSpaceDE w:val="0"/>
        <w:autoSpaceDN w:val="0"/>
        <w:adjustRightInd w:val="0"/>
        <w:spacing w:line="360" w:lineRule="auto"/>
        <w:ind w:firstLineChars="200" w:firstLine="482"/>
        <w:jc w:val="left"/>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w:t>
      </w:r>
      <w:r>
        <w:rPr>
          <w:rFonts w:asciiTheme="minorEastAsia" w:hAnsiTheme="minorEastAsia" w:cs="AdobeHeitiStd-Regular"/>
          <w:b/>
          <w:kern w:val="0"/>
          <w:sz w:val="24"/>
          <w:szCs w:val="24"/>
        </w:rPr>
        <w:t>2</w:t>
      </w:r>
      <w:r>
        <w:rPr>
          <w:rFonts w:asciiTheme="minorEastAsia" w:hAnsiTheme="minorEastAsia" w:cs="AdobeHeitiStd-Regular" w:hint="eastAsia"/>
          <w:b/>
          <w:kern w:val="0"/>
          <w:sz w:val="24"/>
          <w:szCs w:val="24"/>
        </w:rPr>
        <w:t>）书展</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高校图书馆与合作</w:t>
      </w:r>
      <w:r>
        <w:rPr>
          <w:rFonts w:asciiTheme="minorEastAsia" w:hAnsiTheme="minorEastAsia" w:cs="AdobeHeitiStd-Regular"/>
          <w:kern w:val="0"/>
          <w:sz w:val="24"/>
          <w:szCs w:val="24"/>
        </w:rPr>
        <w:t>书商</w:t>
      </w:r>
      <w:r>
        <w:rPr>
          <w:rFonts w:asciiTheme="minorEastAsia" w:hAnsiTheme="minorEastAsia" w:cs="AdobeHeitiStd-Regular" w:hint="eastAsia"/>
          <w:kern w:val="0"/>
          <w:sz w:val="24"/>
          <w:szCs w:val="24"/>
        </w:rPr>
        <w:t>联合举行书展活动，不仅能够方便读者在校园内就可以看到心仪的书籍，拓宽读者视野，方便读者自行购买书籍；读者还可以将书展上有价值的书籍推荐给图书馆，使图书馆的文献资源建设更好地满足读者的需求。</w:t>
      </w:r>
    </w:p>
    <w:p w:rsidR="00F810CF" w:rsidRDefault="00A566D3">
      <w:pPr>
        <w:autoSpaceDE w:val="0"/>
        <w:autoSpaceDN w:val="0"/>
        <w:adjustRightInd w:val="0"/>
        <w:spacing w:line="360" w:lineRule="auto"/>
        <w:ind w:firstLineChars="200" w:firstLine="482"/>
        <w:jc w:val="left"/>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w:t>
      </w:r>
      <w:r>
        <w:rPr>
          <w:rFonts w:asciiTheme="minorEastAsia" w:hAnsiTheme="minorEastAsia" w:cs="AdobeHeitiStd-Regular"/>
          <w:b/>
          <w:kern w:val="0"/>
          <w:sz w:val="24"/>
          <w:szCs w:val="24"/>
        </w:rPr>
        <w:t>3</w:t>
      </w:r>
      <w:r>
        <w:rPr>
          <w:rFonts w:asciiTheme="minorEastAsia" w:hAnsiTheme="minorEastAsia" w:cs="AdobeHeitiStd-Regular" w:hint="eastAsia"/>
          <w:b/>
          <w:kern w:val="0"/>
          <w:sz w:val="24"/>
          <w:szCs w:val="24"/>
        </w:rPr>
        <w:t>）名师讲座</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高校图书馆邀请著名教授学者、专家、作家及成功人士为读者进行专题讲座，请名师讲述读书与人生，读书中的快乐。通过名师讲座，能够使学生和名师多沟通、多交流，从名师读书的经历中汲取养分，找到更适合自己的书和读书的方式。</w:t>
      </w:r>
    </w:p>
    <w:p w:rsidR="00F810CF" w:rsidRDefault="00A566D3">
      <w:pPr>
        <w:autoSpaceDE w:val="0"/>
        <w:autoSpaceDN w:val="0"/>
        <w:adjustRightInd w:val="0"/>
        <w:spacing w:line="360" w:lineRule="auto"/>
        <w:ind w:firstLineChars="200" w:firstLine="482"/>
        <w:jc w:val="left"/>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w:t>
      </w:r>
      <w:r>
        <w:rPr>
          <w:rFonts w:asciiTheme="minorEastAsia" w:hAnsiTheme="minorEastAsia" w:cs="AdobeHeitiStd-Regular"/>
          <w:b/>
          <w:kern w:val="0"/>
          <w:sz w:val="24"/>
          <w:szCs w:val="24"/>
        </w:rPr>
        <w:t>4</w:t>
      </w:r>
      <w:r>
        <w:rPr>
          <w:rFonts w:asciiTheme="minorEastAsia" w:hAnsiTheme="minorEastAsia" w:cs="AdobeHeitiStd-Regular" w:hint="eastAsia"/>
          <w:b/>
          <w:kern w:val="0"/>
          <w:sz w:val="24"/>
          <w:szCs w:val="24"/>
        </w:rPr>
        <w:t>）图书馆资源利用讲座</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举办图书馆资源利用讲座，使读者了解图书馆的资源特色，正确利用图书馆的资源，尤其是丰富的电子资源，提高读者利用图书馆文献资源的能力，更好地发挥图书馆的功能，资源利用讲座、服务项目宣传、优秀读者评选、图书借阅排行、主题征文。</w:t>
      </w:r>
    </w:p>
    <w:p w:rsidR="00F810CF" w:rsidRDefault="00A566D3">
      <w:pPr>
        <w:autoSpaceDE w:val="0"/>
        <w:autoSpaceDN w:val="0"/>
        <w:adjustRightInd w:val="0"/>
        <w:spacing w:line="360" w:lineRule="auto"/>
        <w:ind w:firstLineChars="200" w:firstLine="482"/>
        <w:jc w:val="left"/>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w:t>
      </w:r>
      <w:r>
        <w:rPr>
          <w:rFonts w:asciiTheme="minorEastAsia" w:hAnsiTheme="minorEastAsia" w:cs="AdobeHeitiStd-Regular"/>
          <w:b/>
          <w:kern w:val="0"/>
          <w:sz w:val="24"/>
          <w:szCs w:val="24"/>
        </w:rPr>
        <w:t>5</w:t>
      </w:r>
      <w:r>
        <w:rPr>
          <w:rFonts w:asciiTheme="minorEastAsia" w:hAnsiTheme="minorEastAsia" w:cs="AdobeHeitiStd-Regular" w:hint="eastAsia"/>
          <w:b/>
          <w:kern w:val="0"/>
          <w:sz w:val="24"/>
          <w:szCs w:val="24"/>
        </w:rPr>
        <w:t>）征文</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lastRenderedPageBreak/>
        <w:t>高校图书馆通过组织征文活动，能够使读者积极参与到读书活动中，将自己的读书心得与其他读者分享，或让读者将对图书馆的意见或建议以征文的形式表达出来，能够使图书馆更好地了解读者的阅读需求，为读者提供更有针对性地服务。</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如由天津市新闻出版局、天津市高校图书工作委员会主办，天津市十九所高校图书馆共同协办，以“快乐悦读、书香溢满校园”为主题的2016天津市大学生校园“悦读之星”评选活动。初赛：围绕主题，选手提交1500字以内WORD电子版读书心得一份，推选15名同学进入决赛；决赛：提交5分钟PPT演讲稿，通过演讲比赛的形式进行选拔，排名前5名的同学为校级“悦读之星”。</w:t>
      </w:r>
    </w:p>
    <w:p w:rsidR="00F810CF" w:rsidRDefault="00A566D3">
      <w:pPr>
        <w:autoSpaceDE w:val="0"/>
        <w:autoSpaceDN w:val="0"/>
        <w:adjustRightInd w:val="0"/>
        <w:spacing w:line="360" w:lineRule="auto"/>
        <w:ind w:firstLineChars="200" w:firstLine="482"/>
        <w:jc w:val="left"/>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w:t>
      </w:r>
      <w:r>
        <w:rPr>
          <w:rFonts w:asciiTheme="minorEastAsia" w:hAnsiTheme="minorEastAsia" w:cs="AdobeHeitiStd-Regular"/>
          <w:b/>
          <w:kern w:val="0"/>
          <w:sz w:val="24"/>
          <w:szCs w:val="24"/>
        </w:rPr>
        <w:t>6</w:t>
      </w:r>
      <w:r>
        <w:rPr>
          <w:rFonts w:asciiTheme="minorEastAsia" w:hAnsiTheme="minorEastAsia" w:cs="AdobeHeitiStd-Regular" w:hint="eastAsia"/>
          <w:b/>
          <w:kern w:val="0"/>
          <w:sz w:val="24"/>
          <w:szCs w:val="24"/>
        </w:rPr>
        <w:t>）图书馆服务宣传</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高校图书馆除了传统的借阅服务外，还有科技查新、馆际互借、文献传递、学科服务、移动图书馆等，图书馆</w:t>
      </w:r>
      <w:r>
        <w:rPr>
          <w:rFonts w:asciiTheme="minorEastAsia" w:hAnsiTheme="minorEastAsia" w:cs="AdobeHeitiStd-Regular"/>
          <w:kern w:val="0"/>
          <w:sz w:val="24"/>
          <w:szCs w:val="24"/>
        </w:rPr>
        <w:t>阅读推广活动也包括</w:t>
      </w:r>
      <w:r>
        <w:rPr>
          <w:rFonts w:asciiTheme="minorEastAsia" w:hAnsiTheme="minorEastAsia" w:cs="AdobeHeitiStd-Regular" w:hint="eastAsia"/>
          <w:kern w:val="0"/>
          <w:sz w:val="24"/>
          <w:szCs w:val="24"/>
        </w:rPr>
        <w:t>积极主动地为读者介绍这些深层次的服务，使读者深入了解图书馆的服务项目，获取其需要的服务，能够充分实现图书馆的服务功能。</w:t>
      </w:r>
    </w:p>
    <w:p w:rsidR="00F810CF" w:rsidRDefault="00A566D3">
      <w:pPr>
        <w:autoSpaceDE w:val="0"/>
        <w:autoSpaceDN w:val="0"/>
        <w:adjustRightInd w:val="0"/>
        <w:spacing w:line="360" w:lineRule="auto"/>
        <w:ind w:firstLineChars="200" w:firstLine="482"/>
        <w:jc w:val="left"/>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w:t>
      </w:r>
      <w:r>
        <w:rPr>
          <w:rFonts w:asciiTheme="minorEastAsia" w:hAnsiTheme="minorEastAsia" w:cs="AdobeHeitiStd-Regular"/>
          <w:b/>
          <w:kern w:val="0"/>
          <w:sz w:val="24"/>
          <w:szCs w:val="24"/>
        </w:rPr>
        <w:t>7</w:t>
      </w:r>
      <w:r>
        <w:rPr>
          <w:rFonts w:asciiTheme="minorEastAsia" w:hAnsiTheme="minorEastAsia" w:cs="AdobeHeitiStd-Regular" w:hint="eastAsia"/>
          <w:b/>
          <w:kern w:val="0"/>
          <w:sz w:val="24"/>
          <w:szCs w:val="24"/>
        </w:rPr>
        <w:t>）优秀读者评选</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高校图书馆开展优秀读者评选活动，能够极大地激发读者的读书热情，该活动能够为高校创建浓厚的读书学习氛围和加强校园精神文明建设，对宣传和树立学校良好学风及建设校园文化起到了积极的作用。</w:t>
      </w:r>
    </w:p>
    <w:p w:rsidR="00F810CF" w:rsidRDefault="00A566D3">
      <w:pPr>
        <w:autoSpaceDE w:val="0"/>
        <w:autoSpaceDN w:val="0"/>
        <w:adjustRightInd w:val="0"/>
        <w:spacing w:line="360" w:lineRule="auto"/>
        <w:ind w:firstLineChars="200" w:firstLine="482"/>
        <w:jc w:val="left"/>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（8）摄影大赛</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美好的阅读瞬间、美好的图书馆人与事等照片，能够展现和谐校园、和谐图书馆之美。高校图书馆开展摄影大赛，能够激发读者发现美、捕捉美的兴趣，进一步密切读者与图书馆的联系；通过展示图书馆美好的阅览环境以及读者阅读的美好瞬间，也能激发读者的阅读兴趣，促进高校阅读文化建设。</w:t>
      </w:r>
    </w:p>
    <w:p w:rsidR="00F810CF" w:rsidRDefault="00A566D3" w:rsidP="00787957">
      <w:pPr>
        <w:numPr>
          <w:ilvl w:val="0"/>
          <w:numId w:val="1"/>
        </w:numPr>
        <w:autoSpaceDE w:val="0"/>
        <w:autoSpaceDN w:val="0"/>
        <w:adjustRightInd w:val="0"/>
        <w:spacing w:line="360" w:lineRule="auto"/>
        <w:ind w:firstLineChars="200" w:firstLine="482"/>
        <w:jc w:val="left"/>
        <w:rPr>
          <w:rFonts w:asciiTheme="minorEastAsia" w:hAnsiTheme="minorEastAsia" w:cs="AdobeHeitiStd-Regular"/>
          <w:b/>
          <w:bCs/>
          <w:kern w:val="0"/>
          <w:sz w:val="24"/>
          <w:szCs w:val="24"/>
        </w:rPr>
      </w:pPr>
      <w:r>
        <w:rPr>
          <w:rFonts w:asciiTheme="minorEastAsia" w:hAnsiTheme="minorEastAsia" w:cs="AdobeHeitiStd-Regular" w:hint="eastAsia"/>
          <w:b/>
          <w:bCs/>
          <w:kern w:val="0"/>
          <w:sz w:val="24"/>
          <w:szCs w:val="24"/>
        </w:rPr>
        <w:t>图书漂流</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图书漂流，起源于上世纪六七十年代的欧洲，读书人将自己读完的书，随意放在公共场所，如公园的长凳上，捡获这本书的人可取走阅读，读完后再将其放回公共场所，再将其漂出手，让下一位爱书人阅读，继续一段漂流书香。没有借书证，不需付押金，也没有借阅期限。这种好书共享方式，让“知识因传播而美丽”。</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lastRenderedPageBreak/>
        <w:t>校园图书漂流可以唤起师生的读书意识。逐渐提高阅读者的素质。让书在流动中发挥作用，实现传递知识的价值，让书香飘溢于整个校园，营造浓郁的读书氛围。</w:t>
      </w:r>
    </w:p>
    <w:p w:rsidR="00F810CF" w:rsidRDefault="00A566D3" w:rsidP="00787957">
      <w:pPr>
        <w:numPr>
          <w:ilvl w:val="0"/>
          <w:numId w:val="1"/>
        </w:numPr>
        <w:autoSpaceDE w:val="0"/>
        <w:autoSpaceDN w:val="0"/>
        <w:adjustRightInd w:val="0"/>
        <w:spacing w:line="360" w:lineRule="auto"/>
        <w:ind w:firstLineChars="200" w:firstLine="482"/>
        <w:jc w:val="left"/>
        <w:rPr>
          <w:rFonts w:asciiTheme="minorEastAsia" w:hAnsiTheme="minorEastAsia" w:cs="AdobeHeitiStd-Regular"/>
          <w:b/>
          <w:bCs/>
          <w:kern w:val="0"/>
          <w:sz w:val="24"/>
          <w:szCs w:val="24"/>
        </w:rPr>
      </w:pPr>
      <w:r>
        <w:rPr>
          <w:rFonts w:asciiTheme="minorEastAsia" w:hAnsiTheme="minorEastAsia" w:cs="AdobeHeitiStd-Regular" w:hint="eastAsia"/>
          <w:b/>
          <w:bCs/>
          <w:kern w:val="0"/>
          <w:sz w:val="24"/>
          <w:szCs w:val="24"/>
        </w:rPr>
        <w:t>阅读竞赛</w:t>
      </w:r>
    </w:p>
    <w:p w:rsidR="00F810CF" w:rsidRDefault="007D28C2" w:rsidP="007D28C2">
      <w:pPr>
        <w:autoSpaceDE w:val="0"/>
        <w:autoSpaceDN w:val="0"/>
        <w:adjustRightInd w:val="0"/>
        <w:spacing w:line="360" w:lineRule="auto"/>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 xml:space="preserve">     </w:t>
      </w:r>
      <w:r w:rsidR="00A566D3">
        <w:rPr>
          <w:rFonts w:asciiTheme="minorEastAsia" w:hAnsiTheme="minorEastAsia" w:cs="AdobeHeitiStd-Regular" w:hint="eastAsia"/>
          <w:kern w:val="0"/>
          <w:sz w:val="24"/>
          <w:szCs w:val="24"/>
        </w:rPr>
        <w:t>以比赛的形式进行阅读推广。如四川师范大学图书馆举办的阅读接力赛。活动形式为：跑步传话接力。比赛人数： 24——28人（4的倍数），分组：6——7组（按报名人数），每组4人。每组第一个同学随机抽取一个作者名，传递到第二个同学，其说出作者任意一个作品为通过，继续传递下去，以此类推。用时最少及正确率最高者获胜，答错一部作品加时8秒。</w:t>
      </w:r>
    </w:p>
    <w:p w:rsidR="00F810CF" w:rsidRDefault="00A566D3" w:rsidP="00787957">
      <w:pPr>
        <w:numPr>
          <w:ilvl w:val="0"/>
          <w:numId w:val="1"/>
        </w:numPr>
        <w:autoSpaceDE w:val="0"/>
        <w:autoSpaceDN w:val="0"/>
        <w:adjustRightInd w:val="0"/>
        <w:spacing w:line="360" w:lineRule="auto"/>
        <w:ind w:firstLineChars="200" w:firstLine="482"/>
        <w:jc w:val="left"/>
        <w:rPr>
          <w:rFonts w:asciiTheme="minorEastAsia" w:hAnsiTheme="minorEastAsia" w:cs="AdobeHeitiStd-Regular"/>
          <w:b/>
          <w:bCs/>
          <w:kern w:val="0"/>
          <w:sz w:val="24"/>
          <w:szCs w:val="24"/>
        </w:rPr>
      </w:pPr>
      <w:r>
        <w:rPr>
          <w:rFonts w:asciiTheme="minorEastAsia" w:hAnsiTheme="minorEastAsia" w:cs="AdobeHeitiStd-Regular" w:hint="eastAsia"/>
          <w:b/>
          <w:bCs/>
          <w:kern w:val="0"/>
          <w:sz w:val="24"/>
          <w:szCs w:val="24"/>
        </w:rPr>
        <w:t>真人图书</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真人图书””阅读2000年起源于丹麦，随后在各国相继开展。这是一种以有丰富经历的真人为书，以读者与真人面对面沟通交流的形式让读者来完成的阅读。相比于传统阅读，它将书的概念衍生到“人”，从“阅读文字”到“分享人生”，让读者在与真人图书零距离的接触中获得别样的阅读体验。</w:t>
      </w:r>
    </w:p>
    <w:p w:rsidR="00F810CF" w:rsidRDefault="00A566D3" w:rsidP="00787957">
      <w:pPr>
        <w:numPr>
          <w:ilvl w:val="0"/>
          <w:numId w:val="1"/>
        </w:numPr>
        <w:autoSpaceDE w:val="0"/>
        <w:autoSpaceDN w:val="0"/>
        <w:adjustRightInd w:val="0"/>
        <w:spacing w:line="360" w:lineRule="auto"/>
        <w:ind w:firstLineChars="200" w:firstLine="482"/>
        <w:jc w:val="left"/>
        <w:rPr>
          <w:rFonts w:asciiTheme="minorEastAsia" w:hAnsiTheme="minorEastAsia" w:cs="AdobeHeitiStd-Regular"/>
          <w:b/>
          <w:bCs/>
          <w:kern w:val="0"/>
          <w:sz w:val="24"/>
          <w:szCs w:val="24"/>
        </w:rPr>
      </w:pPr>
      <w:r>
        <w:rPr>
          <w:rFonts w:asciiTheme="minorEastAsia" w:hAnsiTheme="minorEastAsia" w:cs="AdobeHeitiStd-Regular" w:hint="eastAsia"/>
          <w:b/>
          <w:bCs/>
          <w:kern w:val="0"/>
          <w:sz w:val="24"/>
          <w:szCs w:val="24"/>
        </w:rPr>
        <w:t>阅读与艺术的结合</w:t>
      </w:r>
    </w:p>
    <w:p w:rsidR="00F810CF" w:rsidRDefault="00A566D3">
      <w:pPr>
        <w:autoSpaceDE w:val="0"/>
        <w:autoSpaceDN w:val="0"/>
        <w:adjustRightInd w:val="0"/>
        <w:spacing w:line="360" w:lineRule="auto"/>
        <w:ind w:firstLineChars="200" w:firstLine="480"/>
        <w:jc w:val="left"/>
        <w:rPr>
          <w:rFonts w:asciiTheme="minorEastAsia" w:eastAsia="宋体" w:hAnsiTheme="minorEastAsia" w:cs="AdobeHeitiStd-Regular"/>
          <w:kern w:val="0"/>
          <w:sz w:val="24"/>
          <w:szCs w:val="24"/>
        </w:rPr>
      </w:pPr>
      <w:r>
        <w:rPr>
          <w:rFonts w:asciiTheme="minorEastAsia" w:hAnsiTheme="minorEastAsia" w:cs="AdobeHeitiStd-Regular" w:hint="eastAsia"/>
          <w:kern w:val="0"/>
          <w:sz w:val="24"/>
          <w:szCs w:val="24"/>
        </w:rPr>
        <w:t>如阅读与戏剧的结合-名著演绎。</w:t>
      </w:r>
      <w:r>
        <w:rPr>
          <w:rFonts w:asciiTheme="minorEastAsia" w:eastAsia="宋体" w:hAnsiTheme="minorEastAsia" w:cs="AdobeHeitiStd-Regular" w:hint="eastAsia"/>
          <w:kern w:val="0"/>
          <w:sz w:val="24"/>
          <w:szCs w:val="24"/>
        </w:rPr>
        <w:t>名著演绎整个过程都是一个深度的阅读过程。如天津财经大学图书馆举办的“思扬牵手你我 演绎名著经典”的话剧比赛。话剧在天津有着深厚的基础，天津财经大学图书馆话剧比赛实践证明，将经典作品改编成话剧(片断)，让静止的画面和无声的文字鲜活的呈献给读者，能有效地激发读者阅读原著的兴趣，形式新颖，读者参与度高，能获得更为持久广泛的推广效应。借助话剧形式助力阅读推广，深得高校学子的欢迎，具有很强的传播效果。</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除了</w:t>
      </w:r>
      <w:r>
        <w:rPr>
          <w:rFonts w:asciiTheme="minorEastAsia" w:hAnsiTheme="minorEastAsia" w:cs="AdobeHeitiStd-Regular"/>
          <w:kern w:val="0"/>
          <w:sz w:val="24"/>
          <w:szCs w:val="24"/>
        </w:rPr>
        <w:t>以上外，常见的阅读推广</w:t>
      </w:r>
      <w:r>
        <w:rPr>
          <w:rFonts w:asciiTheme="minorEastAsia" w:hAnsiTheme="minorEastAsia" w:cs="AdobeHeitiStd-Regular" w:hint="eastAsia"/>
          <w:kern w:val="0"/>
          <w:sz w:val="24"/>
          <w:szCs w:val="24"/>
        </w:rPr>
        <w:t>活动</w:t>
      </w:r>
      <w:r>
        <w:rPr>
          <w:rFonts w:asciiTheme="minorEastAsia" w:hAnsiTheme="minorEastAsia" w:cs="AdobeHeitiStd-Regular"/>
          <w:kern w:val="0"/>
          <w:sz w:val="24"/>
          <w:szCs w:val="24"/>
        </w:rPr>
        <w:t>还包括</w:t>
      </w:r>
      <w:r>
        <w:rPr>
          <w:rFonts w:asciiTheme="minorEastAsia" w:hAnsiTheme="minorEastAsia" w:cs="AdobeHeitiStd-Regular" w:hint="eastAsia"/>
          <w:kern w:val="0"/>
          <w:sz w:val="24"/>
          <w:szCs w:val="24"/>
        </w:rPr>
        <w:t>经典视频展播、读书箴言征集、名著影视欣赏、名著名篇朗诵等。</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b/>
          <w:kern w:val="0"/>
          <w:sz w:val="24"/>
          <w:szCs w:val="24"/>
        </w:rPr>
      </w:pPr>
      <w:bookmarkStart w:id="0" w:name="_GoBack"/>
      <w:bookmarkEnd w:id="0"/>
      <w:r>
        <w:rPr>
          <w:rFonts w:asciiTheme="minorEastAsia" w:hAnsiTheme="minorEastAsia" w:cs="AdobeHeitiStd-Regular" w:hint="eastAsia"/>
          <w:kern w:val="0"/>
          <w:sz w:val="24"/>
          <w:szCs w:val="24"/>
        </w:rPr>
        <w:t>总结</w:t>
      </w:r>
      <w:r>
        <w:rPr>
          <w:rFonts w:asciiTheme="minorEastAsia" w:hAnsiTheme="minorEastAsia" w:cs="AdobeHeitiStd-Regular"/>
          <w:kern w:val="0"/>
          <w:sz w:val="24"/>
          <w:szCs w:val="24"/>
        </w:rPr>
        <w:t>这些阅读推广活动</w:t>
      </w:r>
      <w:r>
        <w:rPr>
          <w:rFonts w:asciiTheme="minorEastAsia" w:hAnsiTheme="minorEastAsia" w:cs="AdobeHeitiStd-Regular" w:hint="eastAsia"/>
          <w:kern w:val="0"/>
          <w:sz w:val="24"/>
          <w:szCs w:val="24"/>
        </w:rPr>
        <w:t>形式</w:t>
      </w:r>
      <w:r>
        <w:rPr>
          <w:rFonts w:asciiTheme="minorEastAsia" w:hAnsiTheme="minorEastAsia" w:cs="AdobeHeitiStd-Regular"/>
          <w:kern w:val="0"/>
          <w:sz w:val="24"/>
          <w:szCs w:val="24"/>
        </w:rPr>
        <w:t>，可以分为</w:t>
      </w:r>
      <w:r>
        <w:rPr>
          <w:rFonts w:asciiTheme="minorEastAsia" w:hAnsiTheme="minorEastAsia" w:cs="AdobeHeitiStd-Regular"/>
          <w:b/>
          <w:kern w:val="0"/>
          <w:sz w:val="24"/>
          <w:szCs w:val="24"/>
        </w:rPr>
        <w:t>讲座式</w:t>
      </w:r>
      <w:r>
        <w:rPr>
          <w:rFonts w:asciiTheme="minorEastAsia" w:hAnsiTheme="minorEastAsia" w:cs="AdobeHeitiStd-Regular" w:hint="eastAsia"/>
          <w:b/>
          <w:kern w:val="0"/>
          <w:sz w:val="24"/>
          <w:szCs w:val="24"/>
        </w:rPr>
        <w:t>（如名师</w:t>
      </w:r>
      <w:r>
        <w:rPr>
          <w:rFonts w:asciiTheme="minorEastAsia" w:hAnsiTheme="minorEastAsia" w:cs="AdobeHeitiStd-Regular"/>
          <w:b/>
          <w:kern w:val="0"/>
          <w:sz w:val="24"/>
          <w:szCs w:val="24"/>
        </w:rPr>
        <w:t>讲座、图书馆利用讲座</w:t>
      </w:r>
      <w:r>
        <w:rPr>
          <w:rFonts w:asciiTheme="minorEastAsia" w:hAnsiTheme="minorEastAsia" w:cs="AdobeHeitiStd-Regular" w:hint="eastAsia"/>
          <w:b/>
          <w:kern w:val="0"/>
          <w:sz w:val="24"/>
          <w:szCs w:val="24"/>
        </w:rPr>
        <w:t>等）</w:t>
      </w:r>
      <w:r>
        <w:rPr>
          <w:rFonts w:asciiTheme="minorEastAsia" w:hAnsiTheme="minorEastAsia" w:cs="AdobeHeitiStd-Regular"/>
          <w:b/>
          <w:kern w:val="0"/>
          <w:sz w:val="24"/>
          <w:szCs w:val="24"/>
        </w:rPr>
        <w:t>、展览</w:t>
      </w:r>
      <w:r>
        <w:rPr>
          <w:rFonts w:asciiTheme="minorEastAsia" w:hAnsiTheme="minorEastAsia" w:cs="AdobeHeitiStd-Regular" w:hint="eastAsia"/>
          <w:b/>
          <w:kern w:val="0"/>
          <w:sz w:val="24"/>
          <w:szCs w:val="24"/>
        </w:rPr>
        <w:t>式（如图书</w:t>
      </w:r>
      <w:r>
        <w:rPr>
          <w:rFonts w:asciiTheme="minorEastAsia" w:hAnsiTheme="minorEastAsia" w:cs="AdobeHeitiStd-Regular"/>
          <w:b/>
          <w:kern w:val="0"/>
          <w:sz w:val="24"/>
          <w:szCs w:val="24"/>
        </w:rPr>
        <w:t>推荐、书展</w:t>
      </w:r>
      <w:r>
        <w:rPr>
          <w:rFonts w:asciiTheme="minorEastAsia" w:hAnsiTheme="minorEastAsia" w:cs="AdobeHeitiStd-Regular" w:hint="eastAsia"/>
          <w:b/>
          <w:kern w:val="0"/>
          <w:sz w:val="24"/>
          <w:szCs w:val="24"/>
        </w:rPr>
        <w:t>等）、</w:t>
      </w:r>
      <w:r>
        <w:rPr>
          <w:rFonts w:asciiTheme="minorEastAsia" w:hAnsiTheme="minorEastAsia" w:cs="AdobeHeitiStd-Regular"/>
          <w:b/>
          <w:kern w:val="0"/>
          <w:sz w:val="24"/>
          <w:szCs w:val="24"/>
        </w:rPr>
        <w:t>竞赛式</w:t>
      </w:r>
      <w:r>
        <w:rPr>
          <w:rFonts w:asciiTheme="minorEastAsia" w:hAnsiTheme="minorEastAsia" w:cs="AdobeHeitiStd-Regular" w:hint="eastAsia"/>
          <w:b/>
          <w:kern w:val="0"/>
          <w:sz w:val="24"/>
          <w:szCs w:val="24"/>
        </w:rPr>
        <w:t>（如读书有奖知识竞赛、品茗书香思辨赛）</w:t>
      </w:r>
      <w:r>
        <w:rPr>
          <w:rFonts w:asciiTheme="minorEastAsia" w:hAnsiTheme="minorEastAsia" w:cs="AdobeHeitiStd-Regular"/>
          <w:b/>
          <w:kern w:val="0"/>
          <w:sz w:val="24"/>
          <w:szCs w:val="24"/>
        </w:rPr>
        <w:t>、书评式</w:t>
      </w:r>
      <w:r>
        <w:rPr>
          <w:rFonts w:asciiTheme="minorEastAsia" w:hAnsiTheme="minorEastAsia" w:cs="AdobeHeitiStd-Regular" w:hint="eastAsia"/>
          <w:b/>
          <w:kern w:val="0"/>
          <w:sz w:val="24"/>
          <w:szCs w:val="24"/>
        </w:rPr>
        <w:t>（如征文</w:t>
      </w:r>
      <w:r>
        <w:rPr>
          <w:rFonts w:asciiTheme="minorEastAsia" w:hAnsiTheme="minorEastAsia" w:cs="AdobeHeitiStd-Regular"/>
          <w:b/>
          <w:kern w:val="0"/>
          <w:sz w:val="24"/>
          <w:szCs w:val="24"/>
        </w:rPr>
        <w:t>、</w:t>
      </w:r>
      <w:r>
        <w:rPr>
          <w:rFonts w:asciiTheme="minorEastAsia" w:hAnsiTheme="minorEastAsia" w:cs="AdobeHeitiStd-Regular" w:hint="eastAsia"/>
          <w:b/>
          <w:kern w:val="0"/>
          <w:sz w:val="24"/>
          <w:szCs w:val="24"/>
        </w:rPr>
        <w:t>读书箴言等）、</w:t>
      </w:r>
      <w:r>
        <w:rPr>
          <w:rFonts w:asciiTheme="minorEastAsia" w:hAnsiTheme="minorEastAsia" w:cs="AdobeHeitiStd-Regular"/>
          <w:b/>
          <w:kern w:val="0"/>
          <w:sz w:val="24"/>
          <w:szCs w:val="24"/>
        </w:rPr>
        <w:t>综合式</w:t>
      </w:r>
      <w:r>
        <w:rPr>
          <w:rFonts w:asciiTheme="minorEastAsia" w:hAnsiTheme="minorEastAsia" w:cs="AdobeHeitiStd-Regular" w:hint="eastAsia"/>
          <w:b/>
          <w:kern w:val="0"/>
          <w:sz w:val="24"/>
          <w:szCs w:val="24"/>
        </w:rPr>
        <w:t>（同时</w:t>
      </w:r>
      <w:r>
        <w:rPr>
          <w:rFonts w:asciiTheme="minorEastAsia" w:hAnsiTheme="minorEastAsia" w:cs="AdobeHeitiStd-Regular"/>
          <w:b/>
          <w:kern w:val="0"/>
          <w:sz w:val="24"/>
          <w:szCs w:val="24"/>
        </w:rPr>
        <w:t>利用多种形式来进行阅读推广</w:t>
      </w:r>
      <w:r>
        <w:rPr>
          <w:rFonts w:asciiTheme="minorEastAsia" w:hAnsiTheme="minorEastAsia" w:cs="AdobeHeitiStd-Regular" w:hint="eastAsia"/>
          <w:b/>
          <w:kern w:val="0"/>
          <w:sz w:val="24"/>
          <w:szCs w:val="24"/>
        </w:rPr>
        <w:t>）</w:t>
      </w:r>
      <w:r>
        <w:rPr>
          <w:rFonts w:asciiTheme="minorEastAsia" w:hAnsiTheme="minorEastAsia" w:cs="AdobeHeitiStd-Regular"/>
          <w:b/>
          <w:kern w:val="0"/>
          <w:sz w:val="24"/>
          <w:szCs w:val="24"/>
        </w:rPr>
        <w:t>等。</w:t>
      </w:r>
    </w:p>
    <w:p w:rsidR="00F810CF" w:rsidRDefault="00A566D3">
      <w:pPr>
        <w:autoSpaceDE w:val="0"/>
        <w:autoSpaceDN w:val="0"/>
        <w:adjustRightInd w:val="0"/>
        <w:jc w:val="left"/>
        <w:rPr>
          <w:rFonts w:asciiTheme="majorEastAsia" w:eastAsiaTheme="majorEastAsia" w:hAnsiTheme="majorEastAsia" w:cs="AdobeHeitiStd-Regular"/>
          <w:kern w:val="0"/>
          <w:sz w:val="28"/>
          <w:szCs w:val="28"/>
        </w:rPr>
      </w:pPr>
      <w:r>
        <w:rPr>
          <w:rFonts w:asciiTheme="majorEastAsia" w:eastAsiaTheme="majorEastAsia" w:hAnsiTheme="majorEastAsia" w:cs="AdobeHeitiStd-Regular"/>
          <w:kern w:val="0"/>
          <w:sz w:val="28"/>
          <w:szCs w:val="28"/>
        </w:rPr>
        <w:t>3.</w:t>
      </w:r>
      <w:r>
        <w:rPr>
          <w:rFonts w:asciiTheme="majorEastAsia" w:eastAsiaTheme="majorEastAsia" w:hAnsiTheme="majorEastAsia" w:cs="AdobeHeitiStd-Regular" w:hint="eastAsia"/>
          <w:kern w:val="0"/>
          <w:sz w:val="28"/>
          <w:szCs w:val="28"/>
        </w:rPr>
        <w:t>全国高校图书馆阅读推广案例大赛一等奖</w:t>
      </w:r>
      <w:r>
        <w:rPr>
          <w:rFonts w:asciiTheme="majorEastAsia" w:eastAsiaTheme="majorEastAsia" w:hAnsiTheme="majorEastAsia" w:cs="AdobeHeitiStd-Regular"/>
          <w:kern w:val="0"/>
          <w:sz w:val="28"/>
          <w:szCs w:val="28"/>
        </w:rPr>
        <w:t>案例分析</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lastRenderedPageBreak/>
        <w:t>由教育部高等学校图书馆情报工作指导委员会读者服务创新与推广工作组主办，上海交通大学图书馆、上海财经大学图书馆、华中师范大学图书馆共同承办的首届全国高校图书馆阅读推广案例大赛全国总决赛于2015年10月15-16日在华中师范大学召开，来自全国180多所高校图书馆的代表参加。</w:t>
      </w:r>
    </w:p>
    <w:tbl>
      <w:tblPr>
        <w:tblStyle w:val="a7"/>
        <w:tblW w:w="8522" w:type="dxa"/>
        <w:jc w:val="center"/>
        <w:tblLayout w:type="fixed"/>
        <w:tblLook w:val="04A0"/>
      </w:tblPr>
      <w:tblGrid>
        <w:gridCol w:w="707"/>
        <w:gridCol w:w="4162"/>
        <w:gridCol w:w="2185"/>
        <w:gridCol w:w="1468"/>
      </w:tblGrid>
      <w:tr w:rsidR="00F810CF">
        <w:trPr>
          <w:jc w:val="center"/>
        </w:trPr>
        <w:tc>
          <w:tcPr>
            <w:tcW w:w="707" w:type="dxa"/>
          </w:tcPr>
          <w:p w:rsidR="00F810CF" w:rsidRDefault="00A566D3">
            <w:pPr>
              <w:pStyle w:val="1"/>
              <w:autoSpaceDE w:val="0"/>
              <w:autoSpaceDN w:val="0"/>
              <w:adjustRightInd w:val="0"/>
              <w:ind w:firstLineChars="0" w:firstLine="0"/>
              <w:jc w:val="left"/>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编号</w:t>
            </w:r>
          </w:p>
        </w:tc>
        <w:tc>
          <w:tcPr>
            <w:tcW w:w="4162" w:type="dxa"/>
          </w:tcPr>
          <w:p w:rsidR="00F810CF" w:rsidRDefault="00A566D3">
            <w:pPr>
              <w:pStyle w:val="1"/>
              <w:autoSpaceDE w:val="0"/>
              <w:autoSpaceDN w:val="0"/>
              <w:adjustRightInd w:val="0"/>
              <w:ind w:firstLineChars="0" w:firstLine="0"/>
              <w:jc w:val="center"/>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获奖案例名称</w:t>
            </w:r>
          </w:p>
        </w:tc>
        <w:tc>
          <w:tcPr>
            <w:tcW w:w="2185" w:type="dxa"/>
          </w:tcPr>
          <w:p w:rsidR="00F810CF" w:rsidRDefault="00A566D3">
            <w:pPr>
              <w:pStyle w:val="1"/>
              <w:autoSpaceDE w:val="0"/>
              <w:autoSpaceDN w:val="0"/>
              <w:adjustRightInd w:val="0"/>
              <w:ind w:firstLineChars="0" w:firstLine="0"/>
              <w:jc w:val="center"/>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获奖单位</w:t>
            </w:r>
          </w:p>
        </w:tc>
        <w:tc>
          <w:tcPr>
            <w:tcW w:w="1468" w:type="dxa"/>
          </w:tcPr>
          <w:p w:rsidR="00F810CF" w:rsidRDefault="00A566D3">
            <w:pPr>
              <w:pStyle w:val="1"/>
              <w:autoSpaceDE w:val="0"/>
              <w:autoSpaceDN w:val="0"/>
              <w:adjustRightInd w:val="0"/>
              <w:ind w:firstLineChars="0" w:firstLine="0"/>
              <w:jc w:val="center"/>
              <w:rPr>
                <w:rFonts w:asciiTheme="minorEastAsia" w:hAnsiTheme="minorEastAsia" w:cs="AdobeHeitiStd-Regular"/>
                <w:b/>
                <w:kern w:val="0"/>
                <w:sz w:val="24"/>
                <w:szCs w:val="24"/>
              </w:rPr>
            </w:pPr>
            <w:r>
              <w:rPr>
                <w:rFonts w:asciiTheme="minorEastAsia" w:hAnsiTheme="minorEastAsia" w:cs="AdobeHeitiStd-Regular" w:hint="eastAsia"/>
                <w:b/>
                <w:kern w:val="0"/>
                <w:sz w:val="24"/>
                <w:szCs w:val="24"/>
              </w:rPr>
              <w:t>获奖名次</w:t>
            </w:r>
          </w:p>
        </w:tc>
      </w:tr>
      <w:tr w:rsidR="00F810CF">
        <w:trPr>
          <w:jc w:val="center"/>
        </w:trPr>
        <w:tc>
          <w:tcPr>
            <w:tcW w:w="707"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1</w:t>
            </w:r>
          </w:p>
        </w:tc>
        <w:tc>
          <w:tcPr>
            <w:tcW w:w="4162"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鲜悦（Living Library）：以人为书，分享智慧</w:t>
            </w:r>
          </w:p>
        </w:tc>
        <w:tc>
          <w:tcPr>
            <w:tcW w:w="2185"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上海交通大学图书馆</w:t>
            </w:r>
          </w:p>
        </w:tc>
        <w:tc>
          <w:tcPr>
            <w:tcW w:w="1468"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宋体" w:eastAsia="宋体" w:hAnsi="宋体" w:cs="宋体" w:hint="eastAsia"/>
                <w:kern w:val="0"/>
                <w:sz w:val="24"/>
                <w:szCs w:val="24"/>
              </w:rPr>
              <w:t>一等奖</w:t>
            </w:r>
          </w:p>
        </w:tc>
      </w:tr>
      <w:tr w:rsidR="00F810CF">
        <w:trPr>
          <w:jc w:val="center"/>
        </w:trPr>
        <w:tc>
          <w:tcPr>
            <w:tcW w:w="707"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2</w:t>
            </w:r>
          </w:p>
        </w:tc>
        <w:tc>
          <w:tcPr>
            <w:tcW w:w="4162"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读有故事的人，阅会行走的书—— “学在清华.真人图书馆”交流分享</w:t>
            </w:r>
          </w:p>
        </w:tc>
        <w:tc>
          <w:tcPr>
            <w:tcW w:w="2185"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清华大学图书馆</w:t>
            </w:r>
          </w:p>
        </w:tc>
        <w:tc>
          <w:tcPr>
            <w:tcW w:w="1468"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宋体" w:eastAsia="宋体" w:hAnsi="宋体" w:cs="宋体" w:hint="eastAsia"/>
                <w:kern w:val="0"/>
                <w:sz w:val="24"/>
                <w:szCs w:val="24"/>
              </w:rPr>
              <w:t>一等奖</w:t>
            </w:r>
          </w:p>
        </w:tc>
      </w:tr>
      <w:tr w:rsidR="00F810CF">
        <w:trPr>
          <w:jc w:val="center"/>
        </w:trPr>
        <w:tc>
          <w:tcPr>
            <w:tcW w:w="707"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3</w:t>
            </w:r>
          </w:p>
        </w:tc>
        <w:tc>
          <w:tcPr>
            <w:tcW w:w="4162"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“书读花间人博雅”——北京大学图书馆2013年好书榜精选书目/阅读摄影展</w:t>
            </w:r>
          </w:p>
        </w:tc>
        <w:tc>
          <w:tcPr>
            <w:tcW w:w="2185"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北京大学图书馆</w:t>
            </w:r>
          </w:p>
        </w:tc>
        <w:tc>
          <w:tcPr>
            <w:tcW w:w="1468"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宋体" w:eastAsia="宋体" w:hAnsi="宋体" w:cs="宋体" w:hint="eastAsia"/>
                <w:kern w:val="0"/>
                <w:sz w:val="24"/>
                <w:szCs w:val="24"/>
              </w:rPr>
              <w:t>一等奖</w:t>
            </w:r>
          </w:p>
        </w:tc>
      </w:tr>
      <w:tr w:rsidR="00F810CF">
        <w:trPr>
          <w:jc w:val="center"/>
        </w:trPr>
        <w:tc>
          <w:tcPr>
            <w:tcW w:w="707"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4</w:t>
            </w:r>
          </w:p>
        </w:tc>
        <w:tc>
          <w:tcPr>
            <w:tcW w:w="4162"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光影阅动——微拍电子书</w:t>
            </w:r>
          </w:p>
        </w:tc>
        <w:tc>
          <w:tcPr>
            <w:tcW w:w="2185"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四川大学图书馆</w:t>
            </w:r>
          </w:p>
        </w:tc>
        <w:tc>
          <w:tcPr>
            <w:tcW w:w="1468"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宋体" w:eastAsia="宋体" w:hAnsi="宋体" w:cs="宋体" w:hint="eastAsia"/>
                <w:kern w:val="0"/>
                <w:sz w:val="24"/>
                <w:szCs w:val="24"/>
              </w:rPr>
              <w:t>一等奖</w:t>
            </w:r>
          </w:p>
        </w:tc>
      </w:tr>
      <w:tr w:rsidR="00F810CF">
        <w:trPr>
          <w:jc w:val="center"/>
        </w:trPr>
        <w:tc>
          <w:tcPr>
            <w:tcW w:w="707"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5</w:t>
            </w:r>
          </w:p>
        </w:tc>
        <w:tc>
          <w:tcPr>
            <w:tcW w:w="4162"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《拯救小布之消失的经典》——2015武汉大学读书节经典名著在线游戏</w:t>
            </w:r>
          </w:p>
        </w:tc>
        <w:tc>
          <w:tcPr>
            <w:tcW w:w="2185"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武汉大学图书馆</w:t>
            </w:r>
          </w:p>
        </w:tc>
        <w:tc>
          <w:tcPr>
            <w:tcW w:w="1468"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宋体" w:eastAsia="宋体" w:hAnsi="宋体" w:cs="宋体" w:hint="eastAsia"/>
                <w:kern w:val="0"/>
                <w:sz w:val="24"/>
                <w:szCs w:val="24"/>
              </w:rPr>
              <w:t>一等奖</w:t>
            </w:r>
          </w:p>
        </w:tc>
      </w:tr>
      <w:tr w:rsidR="00F810CF">
        <w:trPr>
          <w:jc w:val="center"/>
        </w:trPr>
        <w:tc>
          <w:tcPr>
            <w:tcW w:w="707"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6</w:t>
            </w:r>
          </w:p>
        </w:tc>
        <w:tc>
          <w:tcPr>
            <w:tcW w:w="4162"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“书与剧的碰撞，你与我的思扬”话剧比赛</w:t>
            </w:r>
          </w:p>
        </w:tc>
        <w:tc>
          <w:tcPr>
            <w:tcW w:w="2185" w:type="dxa"/>
            <w:vAlign w:val="center"/>
          </w:tcPr>
          <w:p w:rsidR="00F810CF" w:rsidRDefault="00A566D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天津财经大学图书馆</w:t>
            </w:r>
          </w:p>
        </w:tc>
        <w:tc>
          <w:tcPr>
            <w:tcW w:w="1468" w:type="dxa"/>
          </w:tcPr>
          <w:p w:rsidR="00F810CF" w:rsidRDefault="00A566D3">
            <w:pPr>
              <w:pStyle w:val="1"/>
              <w:autoSpaceDE w:val="0"/>
              <w:autoSpaceDN w:val="0"/>
              <w:adjustRightInd w:val="0"/>
              <w:ind w:firstLineChars="0" w:firstLine="0"/>
              <w:jc w:val="left"/>
              <w:rPr>
                <w:rFonts w:asciiTheme="minorEastAsia" w:hAnsiTheme="minorEastAsia" w:cs="AdobeHeitiStd-Regular"/>
                <w:kern w:val="0"/>
                <w:sz w:val="24"/>
                <w:szCs w:val="24"/>
              </w:rPr>
            </w:pPr>
            <w:r>
              <w:rPr>
                <w:rFonts w:ascii="宋体" w:eastAsia="宋体" w:hAnsi="宋体" w:cs="宋体" w:hint="eastAsia"/>
                <w:kern w:val="0"/>
                <w:sz w:val="24"/>
                <w:szCs w:val="24"/>
              </w:rPr>
              <w:t>一等奖</w:t>
            </w:r>
          </w:p>
        </w:tc>
      </w:tr>
    </w:tbl>
    <w:p w:rsidR="00F810CF" w:rsidRDefault="00F810CF">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分析这六个案例内容，发现：</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（1）上海交通大学图书馆、清华大学图书馆两个案例都有关真人图书，注重分享和实践，真人图书馆归属于讲座式阅读推广，强调互动交流性。</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（2）武汉大学图书馆属于</w:t>
      </w:r>
      <w:r>
        <w:rPr>
          <w:rFonts w:asciiTheme="minorEastAsia" w:hAnsiTheme="minorEastAsia" w:cs="AdobeHeitiStd-Regular"/>
          <w:kern w:val="0"/>
          <w:sz w:val="24"/>
          <w:szCs w:val="24"/>
        </w:rPr>
        <w:t>综合性阅读推广，</w:t>
      </w:r>
      <w:r>
        <w:rPr>
          <w:rFonts w:asciiTheme="minorEastAsia" w:hAnsiTheme="minorEastAsia" w:cs="AdobeHeitiStd-Regular" w:hint="eastAsia"/>
          <w:kern w:val="0"/>
          <w:sz w:val="24"/>
          <w:szCs w:val="24"/>
        </w:rPr>
        <w:t>通过设计小布卡通人物形象作为图书馆代言人，把读经典名著与游戏相结合，设计独到，形式新颖。与四川大学图书馆的光影阅动</w:t>
      </w:r>
      <w:r>
        <w:rPr>
          <w:rFonts w:asciiTheme="minorEastAsia" w:hAnsiTheme="minorEastAsia" w:cs="AdobeHeitiStd-Regular"/>
          <w:kern w:val="0"/>
          <w:sz w:val="24"/>
          <w:szCs w:val="24"/>
        </w:rPr>
        <w:t>—</w:t>
      </w:r>
      <w:r>
        <w:rPr>
          <w:rFonts w:asciiTheme="minorEastAsia" w:hAnsiTheme="minorEastAsia" w:cs="AdobeHeitiStd-Regular" w:hint="eastAsia"/>
          <w:kern w:val="0"/>
          <w:sz w:val="24"/>
          <w:szCs w:val="24"/>
        </w:rPr>
        <w:t>-微拍电子书同归属于新媒介阅读推广，运用的新技术。</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（3）北京大学图书馆的案例属于综合性阅读推广，既包含导读服务式的书目推荐，又包含读书讲座、读者之星评奖、阅读摄影展等。</w:t>
      </w:r>
    </w:p>
    <w:p w:rsidR="00F810CF" w:rsidRDefault="00A566D3">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Pr>
          <w:rFonts w:asciiTheme="minorEastAsia" w:hAnsiTheme="minorEastAsia" w:cs="AdobeHeitiStd-Regular" w:hint="eastAsia"/>
          <w:kern w:val="0"/>
          <w:sz w:val="24"/>
          <w:szCs w:val="24"/>
        </w:rPr>
        <w:t>（4）天津财经大学图书馆“书与剧的碰撞，你与我的思扬”话剧比赛即是</w:t>
      </w:r>
      <w:r>
        <w:rPr>
          <w:rFonts w:asciiTheme="minorEastAsia" w:hAnsiTheme="minorEastAsia" w:cs="AdobeHeitiStd-Regular"/>
          <w:kern w:val="0"/>
          <w:sz w:val="24"/>
          <w:szCs w:val="24"/>
        </w:rPr>
        <w:t>充分利用天津的文化和</w:t>
      </w:r>
      <w:r>
        <w:rPr>
          <w:rFonts w:asciiTheme="minorEastAsia" w:hAnsiTheme="minorEastAsia" w:cs="AdobeHeitiStd-Regular" w:hint="eastAsia"/>
          <w:kern w:val="0"/>
          <w:sz w:val="24"/>
          <w:szCs w:val="24"/>
        </w:rPr>
        <w:t>校园</w:t>
      </w:r>
      <w:r>
        <w:rPr>
          <w:rFonts w:asciiTheme="minorEastAsia" w:hAnsiTheme="minorEastAsia" w:cs="AdobeHeitiStd-Regular"/>
          <w:kern w:val="0"/>
          <w:sz w:val="24"/>
          <w:szCs w:val="24"/>
        </w:rPr>
        <w:t>话剧社团的优势，将话剧与书籍</w:t>
      </w:r>
      <w:r>
        <w:rPr>
          <w:rFonts w:asciiTheme="minorEastAsia" w:hAnsiTheme="minorEastAsia" w:cs="AdobeHeitiStd-Regular" w:hint="eastAsia"/>
          <w:kern w:val="0"/>
          <w:sz w:val="24"/>
          <w:szCs w:val="24"/>
        </w:rPr>
        <w:t>相</w:t>
      </w:r>
      <w:r>
        <w:rPr>
          <w:rFonts w:asciiTheme="minorEastAsia" w:hAnsiTheme="minorEastAsia" w:cs="AdobeHeitiStd-Regular"/>
          <w:kern w:val="0"/>
          <w:sz w:val="24"/>
          <w:szCs w:val="24"/>
        </w:rPr>
        <w:t>结合</w:t>
      </w:r>
      <w:r>
        <w:rPr>
          <w:rFonts w:asciiTheme="minorEastAsia" w:hAnsiTheme="minorEastAsia" w:cs="AdobeHeitiStd-Regular" w:hint="eastAsia"/>
          <w:kern w:val="0"/>
          <w:sz w:val="24"/>
          <w:szCs w:val="24"/>
        </w:rPr>
        <w:t>。</w:t>
      </w:r>
    </w:p>
    <w:p w:rsidR="00F810CF" w:rsidRDefault="00A566D3">
      <w:pPr>
        <w:autoSpaceDE w:val="0"/>
        <w:autoSpaceDN w:val="0"/>
        <w:adjustRightInd w:val="0"/>
        <w:spacing w:line="360" w:lineRule="auto"/>
        <w:ind w:firstLineChars="200" w:firstLine="480"/>
        <w:jc w:val="left"/>
        <w:rPr>
          <w:sz w:val="24"/>
          <w:szCs w:val="24"/>
        </w:rPr>
      </w:pPr>
      <w:r>
        <w:rPr>
          <w:rFonts w:hint="eastAsia"/>
          <w:sz w:val="24"/>
          <w:szCs w:val="24"/>
        </w:rPr>
        <w:t>首届全国高校图书馆服务创新案例大赛案例汇报内容</w:t>
      </w:r>
      <w:r>
        <w:rPr>
          <w:sz w:val="24"/>
          <w:szCs w:val="24"/>
        </w:rPr>
        <w:t>网址是：</w:t>
      </w:r>
      <w:hyperlink r:id="rId8" w:history="1">
        <w:r>
          <w:rPr>
            <w:rStyle w:val="a6"/>
            <w:sz w:val="24"/>
            <w:szCs w:val="24"/>
          </w:rPr>
          <w:t>http://conference.lib.sjtu.edu.cn/rscp2015/download.html</w:t>
        </w:r>
      </w:hyperlink>
      <w:r>
        <w:rPr>
          <w:rFonts w:hint="eastAsia"/>
          <w:sz w:val="24"/>
          <w:szCs w:val="24"/>
        </w:rPr>
        <w:t>。</w:t>
      </w:r>
    </w:p>
    <w:sectPr w:rsidR="00F810CF" w:rsidSect="00F810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9F" w:rsidRDefault="009D279F" w:rsidP="00787957">
      <w:r>
        <w:separator/>
      </w:r>
    </w:p>
  </w:endnote>
  <w:endnote w:type="continuationSeparator" w:id="0">
    <w:p w:rsidR="009D279F" w:rsidRDefault="009D279F" w:rsidP="00787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HeitiStd-Regular">
    <w:altName w:val="方正舒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9F" w:rsidRDefault="009D279F" w:rsidP="00787957">
      <w:r>
        <w:separator/>
      </w:r>
    </w:p>
  </w:footnote>
  <w:footnote w:type="continuationSeparator" w:id="0">
    <w:p w:rsidR="009D279F" w:rsidRDefault="009D279F" w:rsidP="00787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01F2F"/>
    <w:multiLevelType w:val="singleLevel"/>
    <w:tmpl w:val="57601F2F"/>
    <w:lvl w:ilvl="0">
      <w:start w:val="9"/>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F58CB"/>
    <w:rsid w:val="000C5B6E"/>
    <w:rsid w:val="002100EF"/>
    <w:rsid w:val="002A5001"/>
    <w:rsid w:val="002D1C9C"/>
    <w:rsid w:val="002F3018"/>
    <w:rsid w:val="003A4CB9"/>
    <w:rsid w:val="003E4A5D"/>
    <w:rsid w:val="00424BB8"/>
    <w:rsid w:val="0044259C"/>
    <w:rsid w:val="004F58CB"/>
    <w:rsid w:val="005A1859"/>
    <w:rsid w:val="006750EA"/>
    <w:rsid w:val="00700C36"/>
    <w:rsid w:val="0073247B"/>
    <w:rsid w:val="00770C64"/>
    <w:rsid w:val="00787957"/>
    <w:rsid w:val="007A1930"/>
    <w:rsid w:val="007D28C2"/>
    <w:rsid w:val="00803CC6"/>
    <w:rsid w:val="008125A9"/>
    <w:rsid w:val="00956F36"/>
    <w:rsid w:val="009D279F"/>
    <w:rsid w:val="00A566D3"/>
    <w:rsid w:val="00A76DEF"/>
    <w:rsid w:val="00BC0601"/>
    <w:rsid w:val="00BC1888"/>
    <w:rsid w:val="00BF6F6C"/>
    <w:rsid w:val="00CE6034"/>
    <w:rsid w:val="00DD3393"/>
    <w:rsid w:val="00E54446"/>
    <w:rsid w:val="00E70640"/>
    <w:rsid w:val="00E73B94"/>
    <w:rsid w:val="00EE7522"/>
    <w:rsid w:val="00F810CF"/>
    <w:rsid w:val="00FA275D"/>
    <w:rsid w:val="273D1EC5"/>
    <w:rsid w:val="2FBA4C47"/>
    <w:rsid w:val="4FD524AD"/>
    <w:rsid w:val="55620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C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810CF"/>
    <w:pPr>
      <w:tabs>
        <w:tab w:val="center" w:pos="4153"/>
        <w:tab w:val="right" w:pos="8306"/>
      </w:tabs>
      <w:snapToGrid w:val="0"/>
      <w:jc w:val="left"/>
    </w:pPr>
    <w:rPr>
      <w:sz w:val="18"/>
      <w:szCs w:val="18"/>
    </w:rPr>
  </w:style>
  <w:style w:type="paragraph" w:styleId="a4">
    <w:name w:val="header"/>
    <w:basedOn w:val="a"/>
    <w:link w:val="Char0"/>
    <w:uiPriority w:val="99"/>
    <w:unhideWhenUsed/>
    <w:rsid w:val="00F810C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810C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F810CF"/>
    <w:rPr>
      <w:color w:val="00D5D5" w:themeColor="hyperlink"/>
      <w:u w:val="single"/>
    </w:rPr>
  </w:style>
  <w:style w:type="table" w:styleId="a7">
    <w:name w:val="Table Grid"/>
    <w:basedOn w:val="a1"/>
    <w:uiPriority w:val="59"/>
    <w:qFormat/>
    <w:rsid w:val="00F81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F810CF"/>
    <w:rPr>
      <w:kern w:val="2"/>
      <w:sz w:val="18"/>
      <w:szCs w:val="18"/>
    </w:rPr>
  </w:style>
  <w:style w:type="character" w:customStyle="1" w:styleId="Char">
    <w:name w:val="页脚 Char"/>
    <w:basedOn w:val="a0"/>
    <w:link w:val="a3"/>
    <w:uiPriority w:val="99"/>
    <w:rsid w:val="00F810CF"/>
    <w:rPr>
      <w:kern w:val="2"/>
      <w:sz w:val="18"/>
      <w:szCs w:val="18"/>
    </w:rPr>
  </w:style>
  <w:style w:type="paragraph" w:customStyle="1" w:styleId="1">
    <w:name w:val="列出段落1"/>
    <w:basedOn w:val="a"/>
    <w:uiPriority w:val="34"/>
    <w:qFormat/>
    <w:rsid w:val="00F810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onference.lib.sjtu.edu.cn/rscp2015/downloa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460</Words>
  <Characters>2627</Characters>
  <Application>Microsoft Office Word</Application>
  <DocSecurity>0</DocSecurity>
  <Lines>21</Lines>
  <Paragraphs>6</Paragraphs>
  <ScaleCrop>false</ScaleCrop>
  <Company>Legend (Beijing) Limited</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2016-06-15T00:55:00Z</dcterms:created>
  <dcterms:modified xsi:type="dcterms:W3CDTF">2016-06-15T09:30:00Z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