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0"/>
          <w:w w:val="100"/>
          <w:position w:val="0"/>
          <w:sz w:val="30"/>
          <w:szCs w:val="30"/>
        </w:rPr>
      </w:pPr>
      <w:r>
        <w:rPr>
          <w:b/>
          <w:bCs/>
          <w:color w:val="000000"/>
          <w:spacing w:val="0"/>
          <w:w w:val="100"/>
          <w:position w:val="0"/>
          <w:sz w:val="30"/>
          <w:szCs w:val="30"/>
        </w:rPr>
        <w:t>广东省高校本科专业电子白皮书</w:t>
      </w:r>
    </w:p>
    <w:p>
      <w:pPr>
        <w:jc w:val="center"/>
        <w:rPr>
          <w:rFonts w:hint="eastAsia"/>
          <w:b/>
          <w:bCs/>
          <w:color w:val="000000"/>
          <w:spacing w:val="0"/>
          <w:w w:val="100"/>
          <w:position w:val="0"/>
          <w:sz w:val="30"/>
          <w:szCs w:val="30"/>
          <w:lang w:val="en-US" w:eastAsia="zh-Hans"/>
        </w:rPr>
      </w:pPr>
      <w:r>
        <w:rPr>
          <w:rFonts w:hint="eastAsia"/>
          <w:b/>
          <w:bCs/>
          <w:color w:val="000000"/>
          <w:spacing w:val="0"/>
          <w:w w:val="100"/>
          <w:position w:val="0"/>
          <w:sz w:val="30"/>
          <w:szCs w:val="30"/>
          <w:lang w:val="en-US" w:eastAsia="zh-Hans"/>
        </w:rPr>
        <w:t>华南师范大学创意设计学院</w:t>
      </w:r>
    </w:p>
    <w:p>
      <w:pPr>
        <w:jc w:val="center"/>
        <w:rPr>
          <w:rFonts w:hint="eastAsia"/>
          <w:color w:val="000000"/>
          <w:spacing w:val="0"/>
          <w:w w:val="100"/>
          <w:position w:val="0"/>
          <w:sz w:val="30"/>
          <w:szCs w:val="30"/>
          <w:lang w:val="en-US" w:eastAsia="zh-Hans"/>
        </w:rPr>
      </w:pPr>
    </w:p>
    <w:p>
      <w:pPr>
        <w:keepNext w:val="0"/>
        <w:keepLines w:val="0"/>
        <w:pageBreakBefore w:val="0"/>
        <w:widowControl w:val="0"/>
        <w:numPr>
          <w:numId w:val="0"/>
        </w:numPr>
        <w:kinsoku/>
        <w:wordWrap/>
        <w:overflowPunct/>
        <w:topLinePunct w:val="0"/>
        <w:autoSpaceDE/>
        <w:autoSpaceDN/>
        <w:bidi w:val="0"/>
        <w:spacing w:line="360" w:lineRule="auto"/>
        <w:jc w:val="left"/>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一、学院简介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创意设计学院成立于</w:t>
      </w:r>
      <w:r>
        <w:rPr>
          <w:rFonts w:hint="eastAsia" w:ascii="宋体" w:hAnsi="宋体" w:eastAsia="宋体" w:cs="宋体"/>
          <w:sz w:val="28"/>
          <w:szCs w:val="28"/>
          <w:lang w:eastAsia="zh-Hans"/>
        </w:rPr>
        <w:t>2021</w:t>
      </w:r>
      <w:r>
        <w:rPr>
          <w:rFonts w:hint="eastAsia" w:ascii="宋体" w:hAnsi="宋体" w:eastAsia="宋体" w:cs="宋体"/>
          <w:sz w:val="28"/>
          <w:szCs w:val="28"/>
          <w:lang w:val="en-US" w:eastAsia="zh-Hans"/>
        </w:rPr>
        <w:t>年</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位于华南师范大学汕尾校区</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学院以培养创新应用型设计人才为核心，与区域经济发展的人才需求相适应，以学院与社会资源协同创新发展为路径，通过深化以设计驱动传统产业转型升级为目标</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秉持着创新与创意、艺术与科技、理论与实践、教育与产业融合的办学理念，立足汕尾及粤东地区，依托粤港澳大湾区的经济社会发展，面向广东及全国</w:t>
      </w:r>
      <w:r>
        <w:rPr>
          <w:rFonts w:hint="eastAsia" w:ascii="宋体" w:hAnsi="宋体" w:eastAsia="宋体" w:cs="宋体"/>
          <w:color w:val="auto"/>
          <w:sz w:val="28"/>
          <w:szCs w:val="28"/>
          <w:lang w:val="en-US" w:eastAsia="zh-Hans"/>
        </w:rPr>
        <w:t>发挥创新设计</w:t>
      </w:r>
      <w:r>
        <w:rPr>
          <w:rFonts w:hint="eastAsia" w:ascii="宋体" w:hAnsi="宋体" w:eastAsia="宋体" w:cs="宋体"/>
          <w:sz w:val="28"/>
          <w:szCs w:val="28"/>
          <w:lang w:val="en-US" w:eastAsia="zh-Hans"/>
        </w:rPr>
        <w:t>优势，培养一流的创新应用型设计人才。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color w:val="auto"/>
          <w:sz w:val="28"/>
          <w:szCs w:val="28"/>
          <w:lang w:val="en-US" w:eastAsia="zh-Hans"/>
        </w:rPr>
      </w:pPr>
      <w:r>
        <w:rPr>
          <w:rFonts w:hint="eastAsia" w:ascii="宋体" w:hAnsi="宋体" w:eastAsia="宋体" w:cs="宋体"/>
          <w:color w:val="auto"/>
          <w:sz w:val="28"/>
          <w:szCs w:val="28"/>
          <w:lang w:val="en-US" w:eastAsia="zh-Hans"/>
        </w:rPr>
        <w:t>学院设有服装与服饰设计专业，拟招生专业为工业设计专业。学院未来规划设置有工艺美术、艺术与科技、公共艺术等本科专业，并建设设计学一级学科硕士点。在建专业实验室包括：梭织、针织实验室、首饰实验室、3D打印实验室、美学训练中心、工程训练中心、现代设计技术实验中心、人机工程实验中心、产品模型制作实验中心、展览中心等，设备投入近千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创意设计学院师资来源于中国艺术研究院、清华大学、</w:t>
      </w:r>
      <w:r>
        <w:rPr>
          <w:rFonts w:hint="eastAsia" w:ascii="宋体" w:hAnsi="宋体" w:eastAsia="宋体" w:cs="宋体"/>
          <w:sz w:val="28"/>
          <w:szCs w:val="28"/>
          <w:lang w:val="en-US" w:eastAsia="zh-CN"/>
        </w:rPr>
        <w:t>南京大学、</w:t>
      </w:r>
      <w:r>
        <w:rPr>
          <w:rFonts w:hint="eastAsia" w:ascii="宋体" w:hAnsi="宋体" w:eastAsia="宋体" w:cs="宋体"/>
          <w:sz w:val="28"/>
          <w:szCs w:val="28"/>
          <w:lang w:val="en-US" w:eastAsia="zh-Hans"/>
        </w:rPr>
        <w:t>深圳大学、东华大学、中国美术学院、广州美术学院、香港理工大学、台湾政治大学、美国旧金山艺术大学等国内外知名院校。目前有专任教师21人包括教授及以上3人、副教授及以上4人，博士及以上2人、硕士及以上21人。具有研究生硕士学位以上者的比例100％。专业背景或相近专业背景者比例100％，初步形成了一支学缘结构合理</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学术水平较高、充满青春活力及探索精神的设计学科师资队伍。</w:t>
      </w:r>
    </w:p>
    <w:p>
      <w:pPr>
        <w:numPr>
          <w:numId w:val="0"/>
        </w:numPr>
        <w:ind w:leftChars="0"/>
        <w:rPr>
          <w:rFonts w:hint="default"/>
          <w:color w:val="000000"/>
          <w:spacing w:val="0"/>
          <w:w w:val="100"/>
          <w:position w:val="0"/>
          <w:lang w:val="en-US" w:eastAsia="zh-Hans"/>
        </w:rPr>
      </w:pPr>
    </w:p>
    <w:p>
      <w:pPr>
        <w:numPr>
          <w:numId w:val="0"/>
        </w:numPr>
        <w:ind w:leftChars="0"/>
        <w:rPr>
          <w:rFonts w:hint="default"/>
          <w:color w:val="000000"/>
          <w:spacing w:val="0"/>
          <w:w w:val="100"/>
          <w:position w:val="0"/>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right="0" w:rightChars="0"/>
        <w:jc w:val="left"/>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二、专业介绍</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服装与服饰设计专业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专业定位</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服装与服饰设计专业以培养设计创新型应用人才为核心，掌握设计创新的基础理论、设计方法与新科技的应用，同时了解服装与服饰品产业的现实状况，适应产业未来发展，设计新的产品服务企业和消费者，掌握服装与服饰品牌的打造与运营的策略，促推产业转型升级和区域经济发展，以学院与社会资源协同的教育模式培养具备创新精神和实践能力的服装与服饰品设计专门人才。</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sz w:val="24"/>
          <w:szCs w:val="24"/>
          <w:lang w:val="en-US"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通过相关专业领域的实践锻练预期达到：具备较强的家国情怀、社会责任感和良好的人文科学素养；在服装与服饰品设计领域中的箱包设计、鞋帽及配件设计、针织设计、首饰设计、陈列设计、服装工艺、服装营销策划等工作中能够综合考虑创新设计、绿色设计、可持续设计等理念，遵守职业道德和规范；能够继续升学深造，或能在服装与服饰品设计领域从事创新设计研发、 品牌策划与营销、设计管理等相关工作。</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培养规格</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学制学分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r>
        <w:rPr>
          <w:rFonts w:hint="default" w:ascii="宋体" w:hAnsi="宋体" w:eastAsia="宋体" w:cs="宋体"/>
          <w:sz w:val="28"/>
          <w:szCs w:val="28"/>
          <w:lang w:eastAsia="zh-Hans"/>
        </w:rPr>
        <w:t xml:space="preserve">  </w:t>
      </w:r>
      <w:r>
        <w:rPr>
          <w:rFonts w:hint="eastAsia" w:ascii="宋体" w:hAnsi="宋体" w:eastAsia="宋体" w:cs="宋体"/>
          <w:sz w:val="28"/>
          <w:szCs w:val="28"/>
          <w:lang w:val="en-US" w:eastAsia="zh-Hans"/>
        </w:rPr>
        <w:t>本专业</w:t>
      </w:r>
      <w:r>
        <w:rPr>
          <w:rFonts w:hint="default" w:ascii="宋体" w:hAnsi="宋体" w:eastAsia="宋体" w:cs="宋体"/>
          <w:sz w:val="28"/>
          <w:szCs w:val="28"/>
          <w:lang w:eastAsia="zh-Hans"/>
        </w:rPr>
        <w:t>学制</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4年，学习期限</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3-6年</w:t>
      </w:r>
      <w:r>
        <w:rPr>
          <w:rFonts w:hint="eastAsia" w:ascii="宋体" w:hAnsi="宋体" w:eastAsia="宋体" w:cs="宋体"/>
          <w:sz w:val="28"/>
          <w:szCs w:val="28"/>
          <w:lang w:eastAsia="zh-Hans"/>
        </w:rPr>
        <w:t>。毕业学分与小时</w:t>
      </w:r>
      <w:r>
        <w:rPr>
          <w:rFonts w:hint="eastAsia" w:ascii="宋体" w:hAnsi="宋体" w:eastAsia="宋体" w:cs="宋体"/>
          <w:sz w:val="28"/>
          <w:szCs w:val="28"/>
          <w:lang w:val="en-US" w:eastAsia="zh-Hans"/>
        </w:rPr>
        <w:t>为</w:t>
      </w:r>
      <w:r>
        <w:rPr>
          <w:rFonts w:hint="eastAsia" w:ascii="宋体" w:hAnsi="宋体" w:eastAsia="宋体" w:cs="宋体"/>
          <w:sz w:val="28"/>
          <w:szCs w:val="28"/>
          <w:lang w:eastAsia="zh-Hans"/>
        </w:rPr>
        <w:t>第一类课程159.5</w:t>
      </w:r>
      <w:r>
        <w:rPr>
          <w:rFonts w:hint="eastAsia" w:ascii="宋体" w:hAnsi="宋体" w:eastAsia="宋体" w:cs="宋体"/>
          <w:sz w:val="28"/>
          <w:szCs w:val="28"/>
          <w:lang w:val="en-US" w:eastAsia="zh-Hans"/>
        </w:rPr>
        <w:t>学分，</w:t>
      </w:r>
      <w:r>
        <w:rPr>
          <w:rFonts w:hint="eastAsia" w:ascii="宋体" w:hAnsi="宋体" w:eastAsia="宋体" w:cs="宋体"/>
          <w:sz w:val="28"/>
          <w:szCs w:val="28"/>
          <w:lang w:eastAsia="zh-Hans"/>
        </w:rPr>
        <w:t>第二类课程128学时。</w:t>
      </w:r>
      <w:r>
        <w:rPr>
          <w:rFonts w:hint="eastAsia" w:ascii="宋体" w:hAnsi="宋体" w:eastAsia="宋体" w:cs="宋体"/>
          <w:sz w:val="28"/>
          <w:szCs w:val="28"/>
          <w:lang w:val="en-US" w:eastAsia="zh-Hans"/>
        </w:rPr>
        <w:t>毕业</w:t>
      </w:r>
      <w:r>
        <w:rPr>
          <w:rFonts w:hint="eastAsia" w:ascii="宋体" w:hAnsi="宋体" w:eastAsia="宋体" w:cs="宋体"/>
          <w:sz w:val="28"/>
          <w:szCs w:val="28"/>
          <w:lang w:eastAsia="zh-Hans"/>
        </w:rPr>
        <w:t>授予艺术学学士</w:t>
      </w:r>
      <w:r>
        <w:rPr>
          <w:rFonts w:hint="eastAsia" w:ascii="宋体" w:hAnsi="宋体" w:eastAsia="宋体" w:cs="宋体"/>
          <w:sz w:val="28"/>
          <w:szCs w:val="28"/>
          <w:lang w:val="en-US" w:eastAsia="zh-Hans"/>
        </w:rPr>
        <w:t>学位。</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毕业要求</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经过四年的系统学习，践行社会主义核心价值观，围绕学习、审思、创新、自主、合作、担当六大素养，本专业学生在毕业时应达成以下毕业要求：</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val="en-US"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1</w:t>
      </w:r>
      <w:r>
        <w:rPr>
          <w:rFonts w:hint="eastAsia" w:ascii="宋体" w:hAnsi="宋体" w:eastAsia="宋体" w:cs="宋体"/>
          <w:sz w:val="28"/>
          <w:szCs w:val="28"/>
          <w:lang w:eastAsia="zh-Hans"/>
        </w:rPr>
        <w:t>）</w:t>
      </w:r>
      <w:r>
        <w:rPr>
          <w:rFonts w:hint="default" w:ascii="宋体" w:hAnsi="宋体" w:eastAsia="宋体" w:cs="宋体"/>
          <w:sz w:val="28"/>
          <w:szCs w:val="28"/>
          <w:lang w:val="en-US" w:eastAsia="zh-Hans"/>
        </w:rPr>
        <w:t xml:space="preserve">具有正确的价值观，人生观和道德观，能够勤于学习，并坚持终身学习；能够勤于思辨，具有批判性思维；具有创造性思维和创新能力，敢于创新；具有独立的自主思维能力，并坚持自主学习的价值观；具有诚信团结，包容协作精神；能够立足传统，以中华文化为源本，并继承发扬；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val="en-US" w:eastAsia="zh-Hans"/>
        </w:rPr>
      </w:pPr>
      <w:r>
        <w:rPr>
          <w:rFonts w:hint="eastAsia" w:ascii="宋体" w:hAnsi="宋体" w:eastAsia="宋体" w:cs="宋体"/>
          <w:sz w:val="28"/>
          <w:szCs w:val="28"/>
          <w:lang w:val="en-US" w:eastAsia="zh-Hans"/>
        </w:rPr>
        <w:t>（</w:t>
      </w:r>
      <w:r>
        <w:rPr>
          <w:rFonts w:hint="default" w:ascii="宋体" w:hAnsi="宋体" w:eastAsia="宋体" w:cs="宋体"/>
          <w:sz w:val="28"/>
          <w:szCs w:val="28"/>
          <w:lang w:val="en-US" w:eastAsia="zh-Hans"/>
        </w:rPr>
        <w:t>2</w:t>
      </w:r>
      <w:r>
        <w:rPr>
          <w:rFonts w:hint="eastAsia" w:ascii="宋体" w:hAnsi="宋体" w:eastAsia="宋体" w:cs="宋体"/>
          <w:sz w:val="28"/>
          <w:szCs w:val="28"/>
          <w:lang w:val="en-US" w:eastAsia="zh-Hans"/>
        </w:rPr>
        <w:t>）</w:t>
      </w:r>
      <w:r>
        <w:rPr>
          <w:rFonts w:hint="default" w:ascii="宋体" w:hAnsi="宋体" w:eastAsia="宋体" w:cs="宋体"/>
          <w:sz w:val="28"/>
          <w:szCs w:val="28"/>
          <w:lang w:val="en-US" w:eastAsia="zh-Hans"/>
        </w:rPr>
        <w:t xml:space="preserve">具有热爱祖国、拥护党的爱国主义精神； 具有遵纪守法的基本法律意识； 具有良好的社会公德与思想品质； 具有诚信团结、艰苦创业的职业精神； 具有开阔的国际视野与艺术、科学、人文素养； 具有推陈出新、勇于尝试的创新精神； 具有严密逻辑思维、较强的心理素质与应变能力；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val="en-US" w:eastAsia="zh-Hans"/>
        </w:rPr>
        <w:t>（</w:t>
      </w:r>
      <w:r>
        <w:rPr>
          <w:rFonts w:hint="default" w:ascii="宋体" w:hAnsi="宋体" w:eastAsia="宋体" w:cs="宋体"/>
          <w:sz w:val="28"/>
          <w:szCs w:val="28"/>
          <w:lang w:eastAsia="zh-Hans"/>
        </w:rPr>
        <w:t>3</w:t>
      </w:r>
      <w:r>
        <w:rPr>
          <w:rFonts w:hint="eastAsia" w:ascii="宋体" w:hAnsi="宋体" w:eastAsia="宋体" w:cs="宋体"/>
          <w:sz w:val="28"/>
          <w:szCs w:val="28"/>
          <w:lang w:eastAsia="zh-Hans"/>
        </w:rPr>
        <w:t>）掌握毛泽东思想、邓小平理论和“三个代表”重要思想和科学发展观等基本原理，熟练掌握习近平新时代中国特色社会主义思想等理论知识；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4</w:t>
      </w:r>
      <w:r>
        <w:rPr>
          <w:rFonts w:hint="eastAsia" w:ascii="宋体" w:hAnsi="宋体" w:eastAsia="宋体" w:cs="宋体"/>
          <w:sz w:val="28"/>
          <w:szCs w:val="28"/>
          <w:lang w:eastAsia="zh-Hans"/>
        </w:rPr>
        <w:t>）热爱服装与服饰品设计行业，且熟练掌握服装与服饰品设计的基础理论和基本知识；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5</w:t>
      </w:r>
      <w:r>
        <w:rPr>
          <w:rFonts w:hint="eastAsia" w:ascii="宋体" w:hAnsi="宋体" w:eastAsia="宋体" w:cs="宋体"/>
          <w:sz w:val="28"/>
          <w:szCs w:val="28"/>
          <w:lang w:eastAsia="zh-Hans"/>
        </w:rPr>
        <w:t xml:space="preserve">）具有创新设计的思维，并能熟练应用专业中所涉及到的相关知识，具有较强的实际操作能力；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6</w:t>
      </w:r>
      <w:r>
        <w:rPr>
          <w:rFonts w:hint="eastAsia" w:ascii="宋体" w:hAnsi="宋体" w:eastAsia="宋体" w:cs="宋体"/>
          <w:sz w:val="28"/>
          <w:szCs w:val="28"/>
          <w:lang w:eastAsia="zh-Hans"/>
        </w:rPr>
        <w:t>）对国内外服装品牌有充分的认知，熟悉服装企业的运作流程；</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7</w:t>
      </w:r>
      <w:r>
        <w:rPr>
          <w:rFonts w:hint="eastAsia" w:ascii="宋体" w:hAnsi="宋体" w:eastAsia="宋体" w:cs="宋体"/>
          <w:sz w:val="28"/>
          <w:szCs w:val="28"/>
          <w:lang w:eastAsia="zh-Hans"/>
        </w:rPr>
        <w:t xml:space="preserve">）系统掌握计算机辅助设计的理论方法、熟练运用相关的设计软件；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w:t>
      </w:r>
      <w:r>
        <w:rPr>
          <w:rFonts w:hint="default" w:ascii="宋体" w:hAnsi="宋体" w:eastAsia="宋体" w:cs="宋体"/>
          <w:sz w:val="28"/>
          <w:szCs w:val="28"/>
          <w:lang w:eastAsia="zh-Hans"/>
        </w:rPr>
        <w:t>8</w:t>
      </w:r>
      <w:r>
        <w:rPr>
          <w:rFonts w:hint="eastAsia" w:ascii="宋体" w:hAnsi="宋体" w:eastAsia="宋体" w:cs="宋体"/>
          <w:sz w:val="28"/>
          <w:szCs w:val="28"/>
          <w:lang w:eastAsia="zh-Hans"/>
        </w:rPr>
        <w:t xml:space="preserve">）系统掌握计算机辅助设计的理论方法、熟练运用相关的设计软件；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val="en-US"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课程体系</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eastAsia="zh-Hans"/>
        </w:rPr>
      </w:pPr>
      <w:r>
        <w:rPr>
          <w:rFonts w:hint="eastAsia" w:ascii="宋体" w:hAnsi="宋体" w:eastAsia="宋体" w:cs="宋体"/>
          <w:sz w:val="28"/>
          <w:szCs w:val="28"/>
          <w:lang w:val="en-US" w:eastAsia="zh-Hans"/>
        </w:rPr>
        <w:t>专业核心课程包括</w:t>
      </w:r>
      <w:r>
        <w:rPr>
          <w:rFonts w:hint="default" w:ascii="宋体" w:hAnsi="宋体" w:eastAsia="宋体" w:cs="宋体"/>
          <w:sz w:val="28"/>
          <w:szCs w:val="28"/>
          <w:lang w:eastAsia="zh-Hans"/>
        </w:rPr>
        <w:t>服装材料基础、中西服装史、服装工业制版、服装专题设计、面料塑形、箱包设计与工艺、鞋帽设计与工艺、服饰配件设计与工艺、首饰设计与工艺、服装品牌策划与产品规划、服装产品设计与市场营销。</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课程结构比例表</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sz w:val="28"/>
          <w:szCs w:val="28"/>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表1 必修与选修学分学时比例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1242"/>
        <w:gridCol w:w="1172"/>
        <w:gridCol w:w="776"/>
        <w:gridCol w:w="965"/>
        <w:gridCol w:w="759"/>
        <w:gridCol w:w="897"/>
        <w:gridCol w:w="66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课程性质</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学时</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66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周数</w:t>
            </w:r>
          </w:p>
        </w:tc>
        <w:tc>
          <w:tcPr>
            <w:tcW w:w="94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34</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21.3%</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752</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25.7%</w:t>
            </w:r>
          </w:p>
        </w:tc>
        <w:tc>
          <w:tcPr>
            <w:tcW w:w="66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2.5W</w:t>
            </w: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continue"/>
            <w:tcBorders/>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选择性必修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7.5</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4.7%</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128</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4.4%</w:t>
            </w: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6</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3.8%</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96</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3.3%</w:t>
            </w: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restart"/>
            <w:tcBorders/>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27.5</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17.2%</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512</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17.5%</w:t>
            </w: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0.0%</w:t>
            </w: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restart"/>
            <w:tcBorders/>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68.5</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43.0%</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1088</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37.1%</w:t>
            </w:r>
          </w:p>
        </w:tc>
        <w:tc>
          <w:tcPr>
            <w:tcW w:w="66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18W</w:t>
            </w: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jc w:val="center"/>
              <w:rPr>
                <w:rFonts w:hint="eastAsia" w:ascii="仿宋" w:hAnsi="仿宋" w:eastAsia="仿宋" w:cs="仿宋"/>
                <w:sz w:val="21"/>
                <w:szCs w:val="21"/>
                <w:vertAlign w:val="baseline"/>
                <w:lang w:eastAsia="zh-Hans"/>
              </w:rPr>
            </w:pPr>
          </w:p>
        </w:tc>
        <w:tc>
          <w:tcPr>
            <w:tcW w:w="1242" w:type="dxa"/>
            <w:vMerge w:val="continue"/>
            <w:tcBorders/>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16</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10.0%</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352</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12.0%</w:t>
            </w: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jc w:val="center"/>
              <w:rPr>
                <w:rFonts w:hint="eastAsia" w:ascii="仿宋" w:hAnsi="仿宋" w:eastAsia="仿宋" w:cs="仿宋"/>
                <w:sz w:val="21"/>
                <w:szCs w:val="21"/>
                <w:vertAlign w:val="baseli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10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第二类课程</w:t>
            </w:r>
          </w:p>
        </w:tc>
        <w:tc>
          <w:tcPr>
            <w:tcW w:w="2414" w:type="dxa"/>
            <w:gridSpan w:val="2"/>
            <w:vAlign w:val="center"/>
          </w:tcPr>
          <w:p>
            <w:pPr>
              <w:jc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w:t>
            </w:r>
          </w:p>
        </w:tc>
        <w:tc>
          <w:tcPr>
            <w:tcW w:w="776" w:type="dxa"/>
            <w:vAlign w:val="center"/>
          </w:tcPr>
          <w:p>
            <w:pPr>
              <w:jc w:val="center"/>
              <w:rPr>
                <w:rFonts w:hint="eastAsia" w:ascii="仿宋" w:hAnsi="仿宋" w:eastAsia="仿宋" w:cs="仿宋"/>
                <w:sz w:val="21"/>
                <w:szCs w:val="21"/>
                <w:vertAlign w:val="baseline"/>
                <w:lang w:eastAsia="zh-Hans"/>
              </w:rPr>
            </w:pPr>
          </w:p>
        </w:tc>
        <w:tc>
          <w:tcPr>
            <w:tcW w:w="965" w:type="dxa"/>
            <w:vAlign w:val="center"/>
          </w:tcPr>
          <w:p>
            <w:pPr>
              <w:jc w:val="center"/>
              <w:rPr>
                <w:rFonts w:hint="eastAsia" w:ascii="仿宋" w:hAnsi="仿宋" w:eastAsia="仿宋" w:cs="仿宋"/>
                <w:sz w:val="21"/>
                <w:szCs w:val="21"/>
                <w:vertAlign w:val="baseline"/>
                <w:lang w:eastAsia="zh-Hans"/>
              </w:rPr>
            </w:pPr>
          </w:p>
        </w:tc>
        <w:tc>
          <w:tcPr>
            <w:tcW w:w="759" w:type="dxa"/>
            <w:vAlign w:val="center"/>
          </w:tcPr>
          <w:p>
            <w:pPr>
              <w:jc w:val="center"/>
              <w:rPr>
                <w:rFonts w:hint="eastAsia" w:ascii="仿宋" w:hAnsi="仿宋" w:eastAsia="仿宋" w:cs="仿宋"/>
                <w:sz w:val="21"/>
                <w:szCs w:val="21"/>
                <w:vertAlign w:val="baseline"/>
                <w:lang w:eastAsia="zh-Hans"/>
              </w:rPr>
            </w:pPr>
          </w:p>
        </w:tc>
        <w:tc>
          <w:tcPr>
            <w:tcW w:w="897" w:type="dxa"/>
            <w:vAlign w:val="center"/>
          </w:tcPr>
          <w:p>
            <w:pPr>
              <w:jc w:val="center"/>
              <w:rPr>
                <w:rFonts w:hint="eastAsia" w:ascii="仿宋" w:hAnsi="仿宋" w:eastAsia="仿宋" w:cs="仿宋"/>
                <w:sz w:val="21"/>
                <w:szCs w:val="21"/>
                <w:vertAlign w:val="baseline"/>
                <w:lang w:eastAsia="zh-Hans"/>
              </w:rPr>
            </w:pPr>
          </w:p>
        </w:tc>
        <w:tc>
          <w:tcPr>
            <w:tcW w:w="669" w:type="dxa"/>
            <w:vAlign w:val="center"/>
          </w:tcPr>
          <w:p>
            <w:pPr>
              <w:jc w:val="center"/>
              <w:rPr>
                <w:rFonts w:hint="eastAsia" w:ascii="仿宋" w:hAnsi="仿宋" w:eastAsia="仿宋" w:cs="仿宋"/>
                <w:sz w:val="21"/>
                <w:szCs w:val="21"/>
                <w:vertAlign w:val="baseline"/>
                <w:lang w:eastAsia="zh-Hans"/>
              </w:rPr>
            </w:pPr>
          </w:p>
        </w:tc>
        <w:tc>
          <w:tcPr>
            <w:tcW w:w="94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1" w:type="dxa"/>
            <w:gridSpan w:val="3"/>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Hans"/>
              </w:rPr>
            </w:pPr>
            <w:r>
              <w:rPr>
                <w:rFonts w:hint="eastAsia" w:ascii="仿宋" w:hAnsi="仿宋" w:eastAsia="仿宋" w:cs="仿宋"/>
                <w:i w:val="0"/>
                <w:iCs w:val="0"/>
                <w:color w:val="000000"/>
                <w:kern w:val="0"/>
                <w:sz w:val="21"/>
                <w:szCs w:val="21"/>
                <w:u w:val="none"/>
                <w:lang w:val="en-US" w:eastAsia="zh-CN" w:bidi="ar"/>
              </w:rPr>
              <w:t>合计</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159.5</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100.0%</w:t>
            </w:r>
          </w:p>
        </w:tc>
        <w:tc>
          <w:tcPr>
            <w:tcW w:w="7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2928</w:t>
            </w:r>
          </w:p>
        </w:tc>
        <w:tc>
          <w:tcPr>
            <w:tcW w:w="8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100.0%</w:t>
            </w:r>
          </w:p>
        </w:tc>
        <w:tc>
          <w:tcPr>
            <w:tcW w:w="66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20.5W</w:t>
            </w:r>
          </w:p>
        </w:tc>
        <w:tc>
          <w:tcPr>
            <w:tcW w:w="94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r>
        <w:rPr>
          <w:rFonts w:hint="default" w:ascii="宋体" w:hAnsi="宋体" w:eastAsia="宋体" w:cs="宋体"/>
          <w:sz w:val="28"/>
          <w:szCs w:val="28"/>
          <w:lang w:eastAsia="zh-Hans"/>
        </w:rPr>
        <w:t>表2 理论与实验、实践学分学时比例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42"/>
        <w:gridCol w:w="1172"/>
        <w:gridCol w:w="776"/>
        <w:gridCol w:w="965"/>
        <w:gridCol w:w="759"/>
        <w:gridCol w:w="897"/>
        <w:gridCol w:w="89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教学环节</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学时</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周数</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44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27.6%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736</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25.1%</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0.3%</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16</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0.5%</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3</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1.9%</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224</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7.7%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23</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14.4%</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368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12.6%</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4.5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2.8%</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144</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4.9%</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41</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25.7%</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688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23.5%</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43.5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27.3%</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752</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25.7%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18W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第二类课程</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合计</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159.5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2928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20.5W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师资队伍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目前有专任教师21人包括教授及以上3人、副教授及以上4人，博士及以上2人、硕士及以上21人。具有研究生硕士学位以上者的比例100％。专业背景或相近专业背景者比例100％，初步形成了一支学缘结构合理</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学术水平较高、充满青春活力及探索精神的设计学科师资队伍。</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教学条件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目前在建专业实验室包括：梭织、针织实验室、首饰实验室、3D打印实验室等22间，设备投入近千万。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学院已设立中国创新设计大数据汕尾中心，该中心是中国工程院创新设计中心授予广东省高校设计学科的首个大数据中心</w:t>
      </w:r>
      <w:r>
        <w:rPr>
          <w:rFonts w:hint="eastAsia" w:ascii="宋体" w:hAnsi="宋体" w:eastAsia="宋体" w:cs="宋体"/>
          <w:sz w:val="28"/>
          <w:szCs w:val="28"/>
          <w:lang w:val="en-US" w:eastAsia="zh-CN"/>
        </w:rPr>
        <w:t>；设立广东美术名师汕尾创作中心</w:t>
      </w:r>
      <w:r>
        <w:rPr>
          <w:rFonts w:hint="eastAsia" w:ascii="宋体" w:hAnsi="宋体" w:eastAsia="宋体" w:cs="宋体"/>
          <w:sz w:val="28"/>
          <w:szCs w:val="28"/>
          <w:lang w:val="en-US" w:eastAsia="zh-Hans"/>
        </w:rPr>
        <w:t>；与广东彩宝首饰商会签订《彩宝首饰设计研发战略合作协议》，建立“彩宝设计协同创新中心”，并设立“华南师范大学创意设计学院—广东省彩宝首饰商会大学生校外实践基地”。</w:t>
      </w:r>
      <w:r>
        <w:rPr>
          <w:rFonts w:hint="eastAsia" w:ascii="宋体" w:hAnsi="宋体" w:eastAsia="宋体" w:cs="宋体"/>
          <w:sz w:val="28"/>
          <w:szCs w:val="28"/>
          <w:lang w:val="en-US" w:eastAsia="zh-CN"/>
        </w:rPr>
        <w:t>将于</w:t>
      </w:r>
      <w:r>
        <w:rPr>
          <w:rFonts w:hint="eastAsia" w:ascii="宋体" w:hAnsi="宋体" w:eastAsia="宋体" w:cs="宋体"/>
          <w:sz w:val="28"/>
          <w:szCs w:val="28"/>
          <w:lang w:val="en-US" w:eastAsia="zh-Hans"/>
        </w:rPr>
        <w:t>2</w:t>
      </w:r>
      <w:r>
        <w:rPr>
          <w:rFonts w:hint="eastAsia" w:ascii="宋体" w:hAnsi="宋体" w:eastAsia="宋体" w:cs="宋体"/>
          <w:sz w:val="28"/>
          <w:szCs w:val="28"/>
          <w:lang w:val="en-US" w:eastAsia="zh-CN"/>
        </w:rPr>
        <w:t>022</w:t>
      </w:r>
      <w:r>
        <w:rPr>
          <w:rFonts w:hint="eastAsia" w:ascii="宋体" w:hAnsi="宋体" w:eastAsia="宋体" w:cs="宋体"/>
          <w:sz w:val="28"/>
          <w:szCs w:val="28"/>
          <w:lang w:val="en-US" w:eastAsia="zh-Hans"/>
        </w:rPr>
        <w:t>年5月建成“数字文创协同创新中心”、“华南师范大学创意设计学院—汕尾品清湖新区大学生校外实践基地”等4个大学生校外实践基地。</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right="0" w:rightChars="0"/>
        <w:jc w:val="left"/>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三、专业介绍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CN"/>
        </w:rPr>
        <w:t>工业设计</w:t>
      </w:r>
      <w:r>
        <w:rPr>
          <w:rFonts w:hint="eastAsia" w:ascii="宋体" w:hAnsi="宋体" w:eastAsia="宋体" w:cs="宋体"/>
          <w:b/>
          <w:bCs/>
          <w:sz w:val="28"/>
          <w:szCs w:val="28"/>
          <w:lang w:val="en-US" w:eastAsia="zh-Hans"/>
        </w:rPr>
        <w:t>专业</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（一）专业定位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CN"/>
        </w:rPr>
        <w:t>工业设计</w:t>
      </w:r>
      <w:r>
        <w:rPr>
          <w:rFonts w:hint="eastAsia" w:ascii="宋体" w:hAnsi="宋体" w:eastAsia="宋体" w:cs="宋体"/>
          <w:sz w:val="28"/>
          <w:szCs w:val="28"/>
          <w:lang w:val="en-US" w:eastAsia="zh-Hans"/>
        </w:rPr>
        <w:t>专业以工学和</w:t>
      </w:r>
      <w:r>
        <w:rPr>
          <w:rFonts w:hint="eastAsia" w:ascii="宋体" w:hAnsi="宋体" w:eastAsia="宋体" w:cs="宋体"/>
          <w:sz w:val="28"/>
          <w:szCs w:val="28"/>
          <w:lang w:val="en-US" w:eastAsia="zh-CN"/>
        </w:rPr>
        <w:t>艺术</w:t>
      </w:r>
      <w:r>
        <w:rPr>
          <w:rFonts w:hint="eastAsia" w:ascii="宋体" w:hAnsi="宋体" w:eastAsia="宋体" w:cs="宋体"/>
          <w:sz w:val="28"/>
          <w:szCs w:val="28"/>
          <w:lang w:val="en-US" w:eastAsia="zh-Hans"/>
        </w:rPr>
        <w:t>学为学科基础，立足</w:t>
      </w:r>
      <w:r>
        <w:rPr>
          <w:rFonts w:hint="eastAsia" w:ascii="宋体" w:hAnsi="宋体" w:eastAsia="宋体" w:cs="宋体"/>
          <w:sz w:val="28"/>
          <w:szCs w:val="28"/>
          <w:lang w:val="en-US" w:eastAsia="zh-CN"/>
        </w:rPr>
        <w:t>粤东，面向</w:t>
      </w:r>
      <w:r>
        <w:rPr>
          <w:rFonts w:hint="eastAsia" w:ascii="宋体" w:hAnsi="宋体" w:eastAsia="宋体" w:cs="宋体"/>
          <w:sz w:val="28"/>
          <w:szCs w:val="28"/>
          <w:lang w:val="en-US" w:eastAsia="zh-Hans"/>
        </w:rPr>
        <w:t>华南</w:t>
      </w:r>
      <w:r>
        <w:rPr>
          <w:rFonts w:hint="eastAsia" w:ascii="宋体" w:hAnsi="宋体" w:eastAsia="宋体" w:cs="宋体"/>
          <w:sz w:val="28"/>
          <w:szCs w:val="28"/>
          <w:lang w:val="en-US" w:eastAsia="zh-CN"/>
        </w:rPr>
        <w:t>，辐射</w:t>
      </w:r>
      <w:r>
        <w:rPr>
          <w:rFonts w:hint="eastAsia" w:ascii="宋体" w:hAnsi="宋体" w:eastAsia="宋体" w:cs="宋体"/>
          <w:sz w:val="28"/>
          <w:szCs w:val="28"/>
          <w:lang w:val="en-US" w:eastAsia="zh-Hans"/>
        </w:rPr>
        <w:t>全国，特别针对粤港澳大湾区产业及社会发展对工业设计人才的需求，培养具备现代设计理念，掌握先进设计技术，能够从事工业设计、新产品开发和数字化设计等方面的创新型高级设计人才</w:t>
      </w:r>
      <w:r>
        <w:rPr>
          <w:rFonts w:hint="eastAsia" w:ascii="宋体" w:hAnsi="宋体" w:eastAsia="宋体" w:cs="宋体"/>
          <w:sz w:val="28"/>
          <w:szCs w:val="28"/>
          <w:lang w:val="en-US" w:eastAsia="zh-CN"/>
        </w:rPr>
        <w:t>；同时发挥学校在教师教育领域的优势，</w:t>
      </w:r>
      <w:r>
        <w:rPr>
          <w:rFonts w:hint="eastAsia" w:ascii="宋体" w:hAnsi="宋体" w:eastAsia="宋体" w:cs="宋体"/>
          <w:sz w:val="28"/>
          <w:szCs w:val="28"/>
          <w:lang w:val="en-US" w:eastAsia="zh-Hans"/>
        </w:rPr>
        <w:t>面向职业技术教育行业培养一批</w:t>
      </w:r>
      <w:r>
        <w:rPr>
          <w:rFonts w:hint="eastAsia" w:ascii="宋体" w:hAnsi="宋体" w:eastAsia="宋体" w:cs="宋体"/>
          <w:sz w:val="28"/>
          <w:szCs w:val="28"/>
          <w:lang w:val="en-US" w:eastAsia="zh-CN"/>
        </w:rPr>
        <w:t>工业设计</w:t>
      </w:r>
      <w:r>
        <w:rPr>
          <w:rFonts w:hint="eastAsia" w:ascii="宋体" w:hAnsi="宋体" w:eastAsia="宋体" w:cs="宋体"/>
          <w:sz w:val="28"/>
          <w:szCs w:val="28"/>
          <w:lang w:val="en-US" w:eastAsia="zh-Hans"/>
        </w:rPr>
        <w:t>专业师资领军人才</w:t>
      </w:r>
      <w:r>
        <w:rPr>
          <w:rFonts w:hint="eastAsia" w:ascii="宋体" w:hAnsi="宋体" w:eastAsia="宋体" w:cs="宋体"/>
          <w:sz w:val="28"/>
          <w:szCs w:val="28"/>
          <w:lang w:val="en-US" w:eastAsia="zh-CN"/>
        </w:rPr>
        <w:t>；并在</w:t>
      </w:r>
      <w:r>
        <w:rPr>
          <w:rFonts w:hint="eastAsia" w:ascii="宋体" w:hAnsi="宋体" w:eastAsia="宋体" w:cs="宋体"/>
          <w:sz w:val="28"/>
          <w:szCs w:val="28"/>
          <w:lang w:val="en-US" w:eastAsia="zh-Hans"/>
        </w:rPr>
        <w:t>服务国家重大战略及制造业设计能力提升的同时，致力于“智能化教育装备、智慧化教育产品、智力型教辅具玩具</w:t>
      </w:r>
      <w:r>
        <w:rPr>
          <w:rFonts w:hint="eastAsia" w:ascii="宋体" w:hAnsi="宋体" w:eastAsia="宋体" w:cs="宋体"/>
          <w:sz w:val="28"/>
          <w:szCs w:val="28"/>
          <w:lang w:val="en-US" w:eastAsia="zh-CN"/>
        </w:rPr>
        <w:t>及文具</w:t>
      </w:r>
      <w:r>
        <w:rPr>
          <w:rFonts w:hint="eastAsia" w:ascii="宋体" w:hAnsi="宋体" w:eastAsia="宋体" w:cs="宋体"/>
          <w:sz w:val="28"/>
          <w:szCs w:val="28"/>
          <w:lang w:val="en-US" w:eastAsia="zh-Hans"/>
        </w:rPr>
        <w:t>”等具有</w:t>
      </w:r>
      <w:r>
        <w:rPr>
          <w:rFonts w:hint="eastAsia" w:ascii="宋体" w:hAnsi="宋体" w:eastAsia="宋体" w:cs="宋体"/>
          <w:sz w:val="28"/>
          <w:szCs w:val="28"/>
          <w:lang w:val="en-US" w:eastAsia="zh-CN"/>
        </w:rPr>
        <w:t>我校工业设计专业“三智”产品特色</w:t>
      </w:r>
      <w:r>
        <w:rPr>
          <w:rFonts w:hint="eastAsia" w:ascii="宋体" w:hAnsi="宋体" w:eastAsia="宋体" w:cs="宋体"/>
          <w:sz w:val="28"/>
          <w:szCs w:val="28"/>
          <w:lang w:val="en-US" w:eastAsia="zh-Hans"/>
        </w:rPr>
        <w:t>的培育。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default" w:ascii="宋体" w:hAnsi="宋体" w:eastAsia="宋体" w:cs="宋体"/>
          <w:b/>
          <w:bCs/>
          <w:sz w:val="28"/>
          <w:szCs w:val="28"/>
          <w:lang w:eastAsia="zh-Hans"/>
        </w:rPr>
        <w:t>(</w:t>
      </w:r>
      <w:r>
        <w:rPr>
          <w:rFonts w:hint="eastAsia" w:ascii="宋体" w:hAnsi="宋体" w:eastAsia="宋体" w:cs="宋体"/>
          <w:b/>
          <w:bCs/>
          <w:sz w:val="28"/>
          <w:szCs w:val="28"/>
          <w:lang w:val="en-US" w:eastAsia="zh-Hans"/>
        </w:rPr>
        <w:t>二）培养目标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工业设计专业</w:t>
      </w:r>
      <w:r>
        <w:rPr>
          <w:rFonts w:hint="eastAsia" w:ascii="宋体" w:hAnsi="宋体" w:eastAsia="宋体" w:cs="宋体"/>
          <w:sz w:val="28"/>
          <w:szCs w:val="28"/>
          <w:lang w:val="en-US" w:eastAsia="zh-Hans"/>
        </w:rPr>
        <w:t>培养德、智、体、美、劳全面发展，具有良好的自然科学、人文社会科学和工程技术基础，系统掌握工业设计知识、现代设计方法，能够从事工业产品设计、新产品开发及产品数字化设计等方面的创新型应用性高级设计人才。本专业</w:t>
      </w:r>
      <w:r>
        <w:rPr>
          <w:rFonts w:hint="eastAsia" w:ascii="宋体" w:hAnsi="宋体" w:eastAsia="宋体" w:cs="宋体"/>
          <w:sz w:val="28"/>
          <w:szCs w:val="28"/>
          <w:lang w:val="en-US" w:eastAsia="zh-CN"/>
        </w:rPr>
        <w:t>毕业生可从事以下工作</w:t>
      </w:r>
      <w:r>
        <w:rPr>
          <w:rFonts w:hint="eastAsia" w:ascii="宋体" w:hAnsi="宋体" w:eastAsia="宋体" w:cs="宋体"/>
          <w:sz w:val="28"/>
          <w:szCs w:val="28"/>
          <w:lang w:val="en-US" w:eastAsia="zh-Hans"/>
        </w:rPr>
        <w:t>：（1）在专业化工业设计公司从事工业设计工作；（2）在互联网、家电、汽车、消费电子、教育装备、实验设备</w:t>
      </w:r>
      <w:r>
        <w:rPr>
          <w:rFonts w:hint="eastAsia" w:ascii="宋体" w:hAnsi="宋体" w:eastAsia="宋体" w:cs="宋体"/>
          <w:sz w:val="28"/>
          <w:szCs w:val="28"/>
          <w:lang w:val="en-US" w:eastAsia="zh-CN"/>
        </w:rPr>
        <w:t>等领域</w:t>
      </w:r>
      <w:r>
        <w:rPr>
          <w:rFonts w:hint="eastAsia" w:ascii="宋体" w:hAnsi="宋体" w:eastAsia="宋体" w:cs="宋体"/>
          <w:sz w:val="28"/>
          <w:szCs w:val="28"/>
          <w:lang w:val="en-US" w:eastAsia="zh-Hans"/>
        </w:rPr>
        <w:t>从事工业设计、</w:t>
      </w:r>
      <w:r>
        <w:rPr>
          <w:rFonts w:hint="eastAsia" w:ascii="宋体" w:hAnsi="宋体" w:eastAsia="宋体" w:cs="宋体"/>
          <w:sz w:val="28"/>
          <w:szCs w:val="28"/>
          <w:lang w:val="en-US" w:eastAsia="zh-CN"/>
        </w:rPr>
        <w:t>设计</w:t>
      </w:r>
      <w:r>
        <w:rPr>
          <w:rFonts w:hint="eastAsia" w:ascii="宋体" w:hAnsi="宋体" w:eastAsia="宋体" w:cs="宋体"/>
          <w:sz w:val="28"/>
          <w:szCs w:val="28"/>
          <w:lang w:val="en-US" w:eastAsia="zh-Hans"/>
        </w:rPr>
        <w:t>管理及相关研究工作</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（3）在职业技术教育学校从事教学、科研及管理等工作</w:t>
      </w:r>
      <w:r>
        <w:rPr>
          <w:rFonts w:hint="eastAsia" w:ascii="宋体" w:hAnsi="宋体" w:eastAsia="宋体" w:cs="宋体"/>
          <w:sz w:val="28"/>
          <w:szCs w:val="28"/>
          <w:lang w:val="en-US" w:eastAsia="zh-CN"/>
        </w:rPr>
        <w:t>；（4）</w:t>
      </w:r>
      <w:r>
        <w:rPr>
          <w:rFonts w:hint="eastAsia" w:ascii="宋体" w:hAnsi="宋体" w:eastAsia="宋体" w:cs="宋体"/>
          <w:sz w:val="28"/>
          <w:szCs w:val="28"/>
          <w:lang w:val="en-US" w:eastAsia="zh-Hans"/>
        </w:rPr>
        <w:t>继续升学深造，</w:t>
      </w:r>
      <w:r>
        <w:rPr>
          <w:rFonts w:hint="eastAsia" w:ascii="宋体" w:hAnsi="宋体" w:eastAsia="宋体" w:cs="宋体"/>
          <w:sz w:val="28"/>
          <w:szCs w:val="28"/>
          <w:lang w:val="en-US" w:eastAsia="zh-CN"/>
        </w:rPr>
        <w:t>从事工业设计领域相关的研究工作。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（三）培养规格</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default" w:ascii="宋体" w:hAnsi="宋体" w:eastAsia="宋体" w:cs="宋体"/>
          <w:b/>
          <w:bCs/>
          <w:sz w:val="28"/>
          <w:szCs w:val="28"/>
          <w:lang w:eastAsia="zh-Hans"/>
        </w:rPr>
        <w:t>1</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学制学分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r>
        <w:rPr>
          <w:rFonts w:hint="default" w:ascii="宋体" w:hAnsi="宋体" w:eastAsia="宋体" w:cs="宋体"/>
          <w:sz w:val="28"/>
          <w:szCs w:val="28"/>
          <w:lang w:eastAsia="zh-Hans"/>
        </w:rPr>
        <w:t xml:space="preserve">  </w:t>
      </w:r>
      <w:r>
        <w:rPr>
          <w:rFonts w:hint="eastAsia" w:ascii="宋体" w:hAnsi="宋体" w:eastAsia="宋体" w:cs="宋体"/>
          <w:sz w:val="28"/>
          <w:szCs w:val="28"/>
          <w:lang w:val="en-US" w:eastAsia="zh-Hans"/>
        </w:rPr>
        <w:t>本专业</w:t>
      </w:r>
      <w:r>
        <w:rPr>
          <w:rFonts w:hint="default" w:ascii="宋体" w:hAnsi="宋体" w:eastAsia="宋体" w:cs="宋体"/>
          <w:sz w:val="28"/>
          <w:szCs w:val="28"/>
          <w:lang w:eastAsia="zh-Hans"/>
        </w:rPr>
        <w:t>学制</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4年，学习期限</w:t>
      </w:r>
      <w:r>
        <w:rPr>
          <w:rFonts w:hint="eastAsia" w:ascii="宋体" w:hAnsi="宋体" w:eastAsia="宋体" w:cs="宋体"/>
          <w:sz w:val="28"/>
          <w:szCs w:val="28"/>
          <w:lang w:val="en-US" w:eastAsia="zh-Hans"/>
        </w:rPr>
        <w:t>为</w:t>
      </w:r>
      <w:r>
        <w:rPr>
          <w:rFonts w:hint="default" w:ascii="宋体" w:hAnsi="宋体" w:eastAsia="宋体" w:cs="宋体"/>
          <w:sz w:val="28"/>
          <w:szCs w:val="28"/>
          <w:lang w:eastAsia="zh-Hans"/>
        </w:rPr>
        <w:t>3-6年</w:t>
      </w:r>
      <w:r>
        <w:rPr>
          <w:rFonts w:hint="eastAsia" w:ascii="宋体" w:hAnsi="宋体" w:eastAsia="宋体" w:cs="宋体"/>
          <w:sz w:val="28"/>
          <w:szCs w:val="28"/>
          <w:lang w:eastAsia="zh-Hans"/>
        </w:rPr>
        <w:t>。毕业学分与小时</w:t>
      </w:r>
      <w:r>
        <w:rPr>
          <w:rFonts w:hint="eastAsia" w:ascii="宋体" w:hAnsi="宋体" w:eastAsia="宋体" w:cs="宋体"/>
          <w:sz w:val="28"/>
          <w:szCs w:val="28"/>
          <w:lang w:val="en-US" w:eastAsia="zh-Hans"/>
        </w:rPr>
        <w:t>为</w:t>
      </w:r>
      <w:r>
        <w:rPr>
          <w:rFonts w:hint="eastAsia" w:ascii="宋体" w:hAnsi="宋体" w:eastAsia="宋体" w:cs="宋体"/>
          <w:sz w:val="28"/>
          <w:szCs w:val="28"/>
          <w:lang w:eastAsia="zh-Hans"/>
        </w:rPr>
        <w:t>第一类课程1</w:t>
      </w:r>
      <w:r>
        <w:rPr>
          <w:rFonts w:hint="eastAsia" w:ascii="宋体" w:hAnsi="宋体" w:eastAsia="宋体" w:cs="宋体"/>
          <w:sz w:val="28"/>
          <w:szCs w:val="28"/>
          <w:lang w:val="en-US" w:eastAsia="zh-CN"/>
        </w:rPr>
        <w:t>65</w:t>
      </w:r>
      <w:r>
        <w:rPr>
          <w:rFonts w:hint="eastAsia" w:ascii="宋体" w:hAnsi="宋体" w:eastAsia="宋体" w:cs="宋体"/>
          <w:sz w:val="28"/>
          <w:szCs w:val="28"/>
          <w:lang w:eastAsia="zh-Hans"/>
        </w:rPr>
        <w:t>.5</w:t>
      </w:r>
      <w:r>
        <w:rPr>
          <w:rFonts w:hint="eastAsia" w:ascii="宋体" w:hAnsi="宋体" w:eastAsia="宋体" w:cs="宋体"/>
          <w:sz w:val="28"/>
          <w:szCs w:val="28"/>
          <w:lang w:val="en-US" w:eastAsia="zh-Hans"/>
        </w:rPr>
        <w:t>学分，</w:t>
      </w:r>
      <w:r>
        <w:rPr>
          <w:rFonts w:hint="eastAsia" w:ascii="宋体" w:hAnsi="宋体" w:eastAsia="宋体" w:cs="宋体"/>
          <w:sz w:val="28"/>
          <w:szCs w:val="28"/>
          <w:lang w:eastAsia="zh-Hans"/>
        </w:rPr>
        <w:t>第二类课程128学时。</w:t>
      </w:r>
      <w:r>
        <w:rPr>
          <w:rFonts w:hint="eastAsia" w:ascii="宋体" w:hAnsi="宋体" w:eastAsia="宋体" w:cs="宋体"/>
          <w:sz w:val="28"/>
          <w:szCs w:val="28"/>
          <w:lang w:val="en-US" w:eastAsia="zh-Hans"/>
        </w:rPr>
        <w:t>毕业</w:t>
      </w:r>
      <w:r>
        <w:rPr>
          <w:rFonts w:hint="eastAsia" w:ascii="宋体" w:hAnsi="宋体" w:eastAsia="宋体" w:cs="宋体"/>
          <w:sz w:val="28"/>
          <w:szCs w:val="28"/>
          <w:lang w:eastAsia="zh-Hans"/>
        </w:rPr>
        <w:t>授予</w:t>
      </w:r>
      <w:r>
        <w:rPr>
          <w:rFonts w:hint="eastAsia" w:ascii="宋体" w:hAnsi="宋体" w:eastAsia="宋体" w:cs="宋体"/>
          <w:sz w:val="28"/>
          <w:szCs w:val="28"/>
          <w:lang w:val="en-US" w:eastAsia="zh-CN"/>
        </w:rPr>
        <w:t>工学</w:t>
      </w:r>
      <w:r>
        <w:rPr>
          <w:rFonts w:hint="eastAsia" w:ascii="宋体" w:hAnsi="宋体" w:eastAsia="宋体" w:cs="宋体"/>
          <w:sz w:val="28"/>
          <w:szCs w:val="28"/>
          <w:lang w:eastAsia="zh-Hans"/>
        </w:rPr>
        <w:t>学士</w:t>
      </w:r>
      <w:r>
        <w:rPr>
          <w:rFonts w:hint="eastAsia" w:ascii="宋体" w:hAnsi="宋体" w:eastAsia="宋体" w:cs="宋体"/>
          <w:sz w:val="28"/>
          <w:szCs w:val="28"/>
          <w:lang w:val="en-US" w:eastAsia="zh-Hans"/>
        </w:rPr>
        <w:t>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8"/>
          <w:szCs w:val="28"/>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eastAsia="宋体" w:cs="宋体"/>
          <w:b/>
          <w:bCs/>
          <w:sz w:val="28"/>
          <w:szCs w:val="28"/>
          <w:lang w:val="en-US" w:eastAsia="zh-Hans"/>
        </w:rPr>
      </w:pPr>
      <w:r>
        <w:rPr>
          <w:rFonts w:hint="default" w:ascii="宋体" w:hAnsi="宋体" w:eastAsia="宋体" w:cs="宋体"/>
          <w:b/>
          <w:bCs/>
          <w:sz w:val="28"/>
          <w:szCs w:val="28"/>
          <w:lang w:eastAsia="zh-Hans"/>
        </w:rPr>
        <w:t>2</w:t>
      </w:r>
      <w:r>
        <w:rPr>
          <w:rFonts w:hint="eastAsia" w:ascii="宋体" w:hAnsi="宋体" w:eastAsia="宋体" w:cs="宋体"/>
          <w:b/>
          <w:bCs/>
          <w:sz w:val="28"/>
          <w:szCs w:val="28"/>
          <w:lang w:eastAsia="zh-Hans"/>
        </w:rPr>
        <w:t>、</w:t>
      </w:r>
      <w:r>
        <w:rPr>
          <w:rFonts w:hint="eastAsia" w:ascii="宋体" w:hAnsi="宋体" w:eastAsia="宋体" w:cs="宋体"/>
          <w:b/>
          <w:bCs/>
          <w:sz w:val="28"/>
          <w:szCs w:val="28"/>
          <w:lang w:val="en-US" w:eastAsia="zh-Hans"/>
        </w:rPr>
        <w:t>毕业要求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经过四年的系统学习，践行社会主义核心价值观，围绕学习、审思、创新、自主、合作、担当六大素养，本专业学生在毕业时应达成以下毕业要求：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（1）工程知识：能够将数学、自然科学、工程基础和专业知识用于解决产品创新设计问题。</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2）问题分析：能够运用数学、自然科学和工程科学的基本原理，对产品功能原理问题进行识别、表达，并获得有效结论；并能够基于设计相关的工程背景及社会文化背景进行合理分析，评价设计方案对社会、健康、安全、法律以及文化的影响，并承担的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3）设计/开发解决方案：能够设计针对产品创新设计问题的解决方案，设计满足特定需求的系统、单元（部件）或工艺流程，并能够在设计环节中体现创新意识，考虑社会、健康、安全、法律、文化以及环境等因素。</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（4）研究：能够基于科学原理，并采用科学方法对产品创新设计问题进行研究，包括设计实验、分析与解释数据、并通过信息综合得到合理有效的结论。</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（5）使用现代工具：能够针对产品创新设计问题，开发、选择与使用恰当的技术、资源、现代工程工具和信息技术工具，包括对产品创新设计问题的预测与模拟，并能够理解其局限性。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（6）环境和可持续发展：能够理解和评价针对产品创新设计问题的设计行业实践对环境、社会可持续发展的影响。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（7）职业规范：具有人文社会科学素养、社会责任感，能够在工程实践中理解并遵守工程职业道德和规范，履行责任。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（8）个人、团队与沟通：能够在多学科背景下的团队中承担个体、团队成员以及负责人的角色，并能够就设计问题与业界同行及社会公众进行有效沟通和交流。</w:t>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r>
        <w:rPr>
          <w:rFonts w:hint="eastAsia" w:ascii="宋体" w:hAnsi="宋体" w:eastAsia="宋体" w:cs="宋体"/>
          <w:sz w:val="28"/>
          <w:szCs w:val="28"/>
          <w:lang w:eastAsia="zh-Hans"/>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sz w:val="28"/>
          <w:szCs w:val="28"/>
          <w:lang w:eastAsia="zh-Hans"/>
        </w:rPr>
      </w:pPr>
      <w:r>
        <w:rPr>
          <w:rFonts w:hint="eastAsia" w:ascii="宋体" w:hAnsi="宋体" w:eastAsia="宋体" w:cs="宋体"/>
          <w:sz w:val="28"/>
          <w:szCs w:val="28"/>
          <w:lang w:eastAsia="zh-Hans"/>
        </w:rPr>
        <w:t xml:space="preserve">（9）项目管理与终身学习：具有自主学习和终身学习的意识，有不断学习和适应发展的能力，理解并掌握工程管理原理与经济决策方法，并能在多学科环境中应用。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val="en-US" w:eastAsia="zh-Hans"/>
        </w:rPr>
      </w:pP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（四）课程体系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sz w:val="28"/>
          <w:szCs w:val="28"/>
          <w:lang w:eastAsia="zh-Hans"/>
        </w:rPr>
      </w:pPr>
      <w:r>
        <w:rPr>
          <w:rFonts w:hint="eastAsia" w:ascii="宋体" w:hAnsi="宋体" w:eastAsia="宋体" w:cs="宋体"/>
          <w:sz w:val="28"/>
          <w:szCs w:val="28"/>
          <w:lang w:val="en-US" w:eastAsia="zh-Hans"/>
        </w:rPr>
        <w:t>设计素描、工业设计史、设计思维与方法、造型设计基础、工业设计机械基础、工业设计工学础、计算机辅助工业设计I、计算机辅助工业设计Ⅱ、设计心理学、人机工程学、设计材料与成型工艺、产品设计表现技法、产品设计I、产品设计Ⅱ、模型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sz w:val="28"/>
          <w:szCs w:val="28"/>
          <w:lang w:val="en-US" w:eastAsia="zh-Hans"/>
        </w:rPr>
      </w:pPr>
      <w:r>
        <w:rPr>
          <w:rFonts w:hint="eastAsia" w:ascii="宋体" w:hAnsi="宋体" w:eastAsia="宋体" w:cs="宋体"/>
          <w:b/>
          <w:bCs/>
          <w:sz w:val="28"/>
          <w:szCs w:val="28"/>
          <w:lang w:val="en-US" w:eastAsia="zh-Hans"/>
        </w:rPr>
        <w:t>课程结构比例表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表1 必修与选修学分学时比例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42"/>
        <w:gridCol w:w="1172"/>
        <w:gridCol w:w="776"/>
        <w:gridCol w:w="965"/>
        <w:gridCol w:w="692"/>
        <w:gridCol w:w="859"/>
        <w:gridCol w:w="77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课程性质</w:t>
            </w:r>
          </w:p>
        </w:tc>
        <w:tc>
          <w:tcPr>
            <w:tcW w:w="776"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69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学时</w:t>
            </w:r>
          </w:p>
        </w:tc>
        <w:tc>
          <w:tcPr>
            <w:tcW w:w="859"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百分比</w:t>
            </w:r>
          </w:p>
        </w:tc>
        <w:tc>
          <w:tcPr>
            <w:tcW w:w="774"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周数</w:t>
            </w:r>
          </w:p>
        </w:tc>
        <w:tc>
          <w:tcPr>
            <w:tcW w:w="945"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20.5%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864</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29.5%</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2.5W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选择性必修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7.5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4.4%</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96</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3.3%</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38</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23.0%</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688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23.5%</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2.4%</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80</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2.7%</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必修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52</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31.4%</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608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20.8%</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30W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jc w:val="center"/>
              <w:rPr>
                <w:rFonts w:hint="eastAsia" w:ascii="仿宋" w:hAnsi="仿宋" w:eastAsia="仿宋" w:cs="仿宋"/>
                <w:sz w:val="21"/>
                <w:szCs w:val="21"/>
                <w:vertAlign w:val="baseline"/>
                <w:lang w:eastAsia="zh-Hans"/>
              </w:rPr>
            </w:pPr>
          </w:p>
        </w:tc>
        <w:tc>
          <w:tcPr>
            <w:tcW w:w="1242" w:type="dxa"/>
            <w:vMerge w:val="continue"/>
            <w:vAlign w:val="center"/>
          </w:tcPr>
          <w:p>
            <w:pPr>
              <w:jc w:val="center"/>
              <w:rPr>
                <w:rFonts w:hint="eastAsia" w:ascii="仿宋" w:hAnsi="仿宋" w:eastAsia="仿宋" w:cs="仿宋"/>
                <w:sz w:val="21"/>
                <w:szCs w:val="21"/>
                <w:vertAlign w:val="baseline"/>
                <w:lang w:eastAsia="zh-Hans"/>
              </w:rPr>
            </w:pPr>
          </w:p>
        </w:tc>
        <w:tc>
          <w:tcPr>
            <w:tcW w:w="1172"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选修</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14.5%</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464</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15.8%</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4" w:hRule="atLeast"/>
        </w:trPr>
        <w:tc>
          <w:tcPr>
            <w:tcW w:w="1097" w:type="dxa"/>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第二类课程</w:t>
            </w:r>
          </w:p>
        </w:tc>
        <w:tc>
          <w:tcPr>
            <w:tcW w:w="2414" w:type="dxa"/>
            <w:gridSpan w:val="2"/>
            <w:vAlign w:val="center"/>
          </w:tcPr>
          <w:p>
            <w:pPr>
              <w:jc w:val="center"/>
              <w:rPr>
                <w:rFonts w:hint="eastAsia" w:ascii="仿宋" w:hAnsi="仿宋" w:eastAsia="仿宋" w:cs="仿宋"/>
                <w:sz w:val="21"/>
                <w:szCs w:val="21"/>
                <w:vertAlign w:val="baseline"/>
                <w:lang w:eastAsia="zh-Hans"/>
              </w:rPr>
            </w:pPr>
            <w:r>
              <w:rPr>
                <w:rFonts w:hint="eastAsia" w:ascii="仿宋" w:hAnsi="仿宋" w:eastAsia="仿宋" w:cs="仿宋"/>
                <w:i w:val="0"/>
                <w:iCs w:val="0"/>
                <w:color w:val="000000"/>
                <w:kern w:val="0"/>
                <w:sz w:val="21"/>
                <w:szCs w:val="21"/>
                <w:u w:val="none"/>
                <w:lang w:val="en-US" w:eastAsia="zh-CN" w:bidi="ar"/>
              </w:rPr>
              <w:t>实践研习I</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94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1"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合计</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165.5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100.0%</w:t>
            </w:r>
          </w:p>
        </w:tc>
        <w:tc>
          <w:tcPr>
            <w:tcW w:w="69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2928</w:t>
            </w:r>
          </w:p>
        </w:tc>
        <w:tc>
          <w:tcPr>
            <w:tcW w:w="8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100.0%</w:t>
            </w:r>
          </w:p>
        </w:tc>
        <w:tc>
          <w:tcPr>
            <w:tcW w:w="7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34.5W</w:t>
            </w:r>
          </w:p>
        </w:tc>
        <w:tc>
          <w:tcPr>
            <w:tcW w:w="94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color w:val="FF0000"/>
          <w:sz w:val="28"/>
          <w:szCs w:val="28"/>
          <w:lang w:eastAsia="zh-Hans"/>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8"/>
          <w:szCs w:val="28"/>
          <w:lang w:val="en-US" w:eastAsia="zh-Hans"/>
        </w:rPr>
      </w:pPr>
      <w:r>
        <w:rPr>
          <w:rFonts w:hint="default" w:ascii="宋体" w:hAnsi="宋体" w:eastAsia="宋体" w:cs="宋体"/>
          <w:sz w:val="28"/>
          <w:szCs w:val="28"/>
          <w:lang w:val="en-US" w:eastAsia="zh-Hans"/>
        </w:rPr>
        <w:t>表2 理论与实验、实践学分学时比例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42"/>
        <w:gridCol w:w="1172"/>
        <w:gridCol w:w="776"/>
        <w:gridCol w:w="965"/>
        <w:gridCol w:w="759"/>
        <w:gridCol w:w="897"/>
        <w:gridCol w:w="89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课程系列</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课程类型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教学环节</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学分</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学时</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百分比</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周数</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第一类课程</w:t>
            </w: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通识教育课程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39</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23.6%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434</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14.8%</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7.5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4.5%</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430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14.7%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大类教育课程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21.8%</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576</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19.7%</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192</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6.6%</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专业教育课程</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32</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19.3%</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528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18.0%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242"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26.6%</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26.2%</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32W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第二类课程</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实践研习I</w:t>
            </w: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理论</w:t>
            </w: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default" w:ascii="仿宋" w:hAnsi="仿宋" w:eastAsia="仿宋" w:cs="仿宋"/>
                <w:i w:val="0"/>
                <w:iCs w:val="0"/>
                <w:color w:val="000000"/>
                <w:kern w:val="0"/>
                <w:sz w:val="21"/>
                <w:szCs w:val="21"/>
                <w:u w:val="none"/>
                <w:lang w:val="en-US" w:eastAsia="zh-CN" w:bidi="ar"/>
              </w:rPr>
              <w:t>合计</w:t>
            </w:r>
          </w:p>
        </w:tc>
        <w:tc>
          <w:tcPr>
            <w:tcW w:w="124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p>
        </w:tc>
        <w:tc>
          <w:tcPr>
            <w:tcW w:w="11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165.5</w:t>
            </w:r>
          </w:p>
        </w:tc>
        <w:tc>
          <w:tcPr>
            <w:tcW w:w="9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5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2928</w:t>
            </w:r>
          </w:p>
        </w:tc>
        <w:tc>
          <w:tcPr>
            <w:tcW w:w="89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89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34.5W</w:t>
            </w:r>
          </w:p>
        </w:tc>
        <w:tc>
          <w:tcPr>
            <w:tcW w:w="71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Hans" w:bidi="ar"/>
              </w:rPr>
            </w:pPr>
            <w:r>
              <w:rPr>
                <w:rFonts w:hint="eastAsia" w:ascii="仿宋" w:hAnsi="仿宋" w:eastAsia="仿宋" w:cs="仿宋"/>
                <w:i w:val="0"/>
                <w:iCs w:val="0"/>
                <w:color w:val="000000"/>
                <w:kern w:val="0"/>
                <w:sz w:val="21"/>
                <w:szCs w:val="21"/>
                <w:u w:val="none"/>
                <w:lang w:val="en-US" w:eastAsia="zh-CN" w:bidi="ar"/>
              </w:rPr>
              <w:t>128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cs="宋体"/>
          <w:sz w:val="28"/>
          <w:szCs w:val="28"/>
          <w:lang w:eastAsia="zh-Hans"/>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师资队伍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目前有专任教师21人包括教授及以上3人、副教授及以上4人，博士及以上2人、硕士及以上21人。具有研究生硕士学位以上者的比例100％。专业背景或相近专业背景者比例100％，初步形成了一支学缘结构合理</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学术水平较高、充满青春活力及探索精神的设计学科师资队伍。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Chars="0"/>
        <w:jc w:val="both"/>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教学条件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学院已设立中国创新设计大数据汕尾中心，该中心是中国工程院创新设计中心授予广东省高校设计学科的首个大数据中心</w:t>
      </w:r>
      <w:r>
        <w:rPr>
          <w:rFonts w:hint="eastAsia" w:ascii="宋体" w:hAnsi="宋体" w:eastAsia="宋体" w:cs="宋体"/>
          <w:sz w:val="28"/>
          <w:szCs w:val="28"/>
          <w:lang w:val="en-US" w:eastAsia="zh-CN"/>
        </w:rPr>
        <w:t>；设立广东美术名师汕尾创作中心</w:t>
      </w:r>
      <w:r>
        <w:rPr>
          <w:rFonts w:hint="eastAsia" w:ascii="宋体" w:hAnsi="宋体" w:eastAsia="宋体" w:cs="宋体"/>
          <w:sz w:val="28"/>
          <w:szCs w:val="28"/>
          <w:lang w:val="en-US" w:eastAsia="zh-Hans"/>
        </w:rPr>
        <w:t>；与广东彩宝首饰商会签订《彩宝首饰设计研发战略合作协议》，建立“彩宝设计协同创新中心”，并设立“华南师范大学创意设计学院—广东省彩宝首饰商会大学生校外实践基地”。</w:t>
      </w:r>
      <w:r>
        <w:rPr>
          <w:rFonts w:hint="eastAsia" w:ascii="宋体" w:hAnsi="宋体" w:eastAsia="宋体" w:cs="宋体"/>
          <w:sz w:val="28"/>
          <w:szCs w:val="28"/>
          <w:lang w:val="en-US" w:eastAsia="zh-CN"/>
        </w:rPr>
        <w:t>将于</w:t>
      </w:r>
      <w:r>
        <w:rPr>
          <w:rFonts w:hint="eastAsia" w:ascii="宋体" w:hAnsi="宋体" w:eastAsia="宋体" w:cs="宋体"/>
          <w:sz w:val="28"/>
          <w:szCs w:val="28"/>
          <w:lang w:val="en-US" w:eastAsia="zh-Hans"/>
        </w:rPr>
        <w:t>2</w:t>
      </w:r>
      <w:r>
        <w:rPr>
          <w:rFonts w:hint="eastAsia" w:ascii="宋体" w:hAnsi="宋体" w:eastAsia="宋体" w:cs="宋体"/>
          <w:sz w:val="28"/>
          <w:szCs w:val="28"/>
          <w:lang w:val="en-US" w:eastAsia="zh-CN"/>
        </w:rPr>
        <w:t>022</w:t>
      </w:r>
      <w:r>
        <w:rPr>
          <w:rFonts w:hint="eastAsia" w:ascii="宋体" w:hAnsi="宋体" w:eastAsia="宋体" w:cs="宋体"/>
          <w:sz w:val="28"/>
          <w:szCs w:val="28"/>
          <w:lang w:val="en-US" w:eastAsia="zh-Hans"/>
        </w:rPr>
        <w:t>年5月建成“数字文创协同创新中心”、“华南师范大学创意设计学院—汕尾品清湖新区大学生校外实践基地”等4个大学生校外实践基地。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default" w:ascii="宋体" w:hAnsi="宋体" w:eastAsia="宋体" w:cs="宋体"/>
          <w:sz w:val="24"/>
          <w:szCs w:val="24"/>
          <w:lang w:val="en-US" w:eastAsia="zh-Hans"/>
        </w:rPr>
      </w:pPr>
      <w:r>
        <w:rPr>
          <w:rFonts w:hint="eastAsia" w:ascii="宋体" w:hAnsi="宋体" w:eastAsia="宋体" w:cs="宋体"/>
          <w:sz w:val="28"/>
          <w:szCs w:val="28"/>
          <w:lang w:val="en-US" w:eastAsia="zh-CN"/>
        </w:rPr>
        <w:t>工业设计专业</w:t>
      </w:r>
      <w:r>
        <w:rPr>
          <w:rFonts w:hint="eastAsia" w:ascii="宋体" w:hAnsi="宋体" w:eastAsia="宋体" w:cs="宋体"/>
          <w:sz w:val="28"/>
          <w:szCs w:val="28"/>
          <w:lang w:val="en-US" w:eastAsia="zh-Hans"/>
        </w:rPr>
        <w:t>目前在建专业实验室包括：</w:t>
      </w:r>
      <w:r>
        <w:rPr>
          <w:rFonts w:hint="eastAsia" w:ascii="宋体" w:hAnsi="宋体" w:eastAsia="宋体" w:cs="宋体"/>
          <w:sz w:val="28"/>
          <w:szCs w:val="28"/>
          <w:lang w:eastAsia="zh-Hans"/>
        </w:rPr>
        <w:t>美学训练中心、工程训练中心、现代设计技术实验中心、人机工程实验中心、产品模型制作实验中心、展览中心</w:t>
      </w:r>
      <w:r>
        <w:rPr>
          <w:rFonts w:hint="eastAsia" w:ascii="宋体" w:hAnsi="宋体" w:eastAsia="宋体" w:cs="宋体"/>
          <w:sz w:val="28"/>
          <w:szCs w:val="28"/>
          <w:lang w:val="en-US" w:eastAsia="zh-Hans"/>
        </w:rPr>
        <w:t>等</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设备投入近</w:t>
      </w:r>
      <w:r>
        <w:rPr>
          <w:rFonts w:hint="eastAsia" w:ascii="宋体" w:hAnsi="宋体" w:eastAsia="宋体" w:cs="宋体"/>
          <w:sz w:val="28"/>
          <w:szCs w:val="28"/>
          <w:lang w:val="en-US" w:eastAsia="zh-CN"/>
        </w:rPr>
        <w:t>五百万元</w:t>
      </w:r>
      <w:r>
        <w:rPr>
          <w:rFonts w:hint="eastAsia" w:ascii="宋体" w:hAnsi="宋体" w:eastAsia="宋体" w:cs="宋体"/>
          <w:sz w:val="28"/>
          <w:szCs w:val="28"/>
          <w:lang w:val="en-US" w:eastAsia="zh-Hans"/>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D360"/>
    <w:multiLevelType w:val="singleLevel"/>
    <w:tmpl w:val="BBDFD360"/>
    <w:lvl w:ilvl="0" w:tentative="0">
      <w:start w:val="1"/>
      <w:numFmt w:val="chineseCounting"/>
      <w:suff w:val="nothing"/>
      <w:lvlText w:val="（%1）"/>
      <w:lvlJc w:val="left"/>
      <w:pPr>
        <w:ind w:left="0"/>
      </w:pPr>
      <w:rPr>
        <w:rFonts w:hint="eastAsia"/>
      </w:rPr>
    </w:lvl>
  </w:abstractNum>
  <w:abstractNum w:abstractNumId="1">
    <w:nsid w:val="BDDE892B"/>
    <w:multiLevelType w:val="singleLevel"/>
    <w:tmpl w:val="BDDE892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A3D2"/>
    <w:rsid w:val="4FBF9568"/>
    <w:rsid w:val="57FD49C0"/>
    <w:rsid w:val="71F5A2D1"/>
    <w:rsid w:val="7BED5943"/>
    <w:rsid w:val="7E9D00DA"/>
    <w:rsid w:val="7FB53860"/>
    <w:rsid w:val="7FFEA3D2"/>
    <w:rsid w:val="BBF7211B"/>
    <w:rsid w:val="DFEFE61A"/>
    <w:rsid w:val="F79F1DEE"/>
    <w:rsid w:val="F9DBF972"/>
    <w:rsid w:val="FBFD8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Office_4.4.1.7360_F1E327BC-269C-435d-A152-05C5408002CA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2022-08-14T16:13:00Z</dcterms:created>
  <dc:creator>Aglaia Du</dc:creator>
  <cp:lastModifiedBy>Aglaia Du</cp:lastModifiedBy>
  <dcterms:modified xsi:type="dcterms:W3CDTF">2022-08-23T09:58:46Z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2052-4.4.1.7360</vt:lpwstr>
  </property>
  <property fmtid="{D5CDD505-2E9C-101B-9397-08002B2CF9AE}" pid="3" name="ICV">
    <vt:lpwstr>828FDC606C39047FC5AEF86283C0B7C5</vt:lpwstr>
  </property>
</Properties>
</file>