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64" w:rsidRPr="00564070" w:rsidRDefault="00564070" w:rsidP="00564070">
      <w:pPr>
        <w:jc w:val="left"/>
        <w:rPr>
          <w:rStyle w:val="a5"/>
          <w:rFonts w:ascii="Arial" w:hAnsi="Arial" w:cs="Arial" w:hint="eastAsia"/>
          <w:sz w:val="30"/>
          <w:szCs w:val="30"/>
        </w:rPr>
      </w:pPr>
      <w:r w:rsidRPr="00564070">
        <w:rPr>
          <w:rStyle w:val="a5"/>
          <w:rFonts w:ascii="Arial" w:hAnsi="Arial" w:cs="Arial" w:hint="eastAsia"/>
          <w:sz w:val="30"/>
          <w:szCs w:val="30"/>
        </w:rPr>
        <w:t>附件</w:t>
      </w:r>
      <w:r w:rsidRPr="00564070">
        <w:rPr>
          <w:rStyle w:val="a5"/>
          <w:rFonts w:ascii="Arial" w:hAnsi="Arial" w:cs="Arial" w:hint="eastAsia"/>
          <w:sz w:val="30"/>
          <w:szCs w:val="30"/>
        </w:rPr>
        <w:t>1</w:t>
      </w:r>
      <w:r>
        <w:rPr>
          <w:rStyle w:val="a5"/>
          <w:rFonts w:ascii="Arial" w:hAnsi="Arial" w:cs="Arial" w:hint="eastAsia"/>
          <w:sz w:val="30"/>
          <w:szCs w:val="30"/>
        </w:rPr>
        <w:t>：</w:t>
      </w:r>
    </w:p>
    <w:p w:rsidR="00564070" w:rsidRDefault="00564070" w:rsidP="00564070">
      <w:pPr>
        <w:jc w:val="center"/>
        <w:rPr>
          <w:rStyle w:val="a5"/>
          <w:rFonts w:ascii="Arial" w:hAnsi="Arial" w:cs="Arial" w:hint="eastAsia"/>
          <w:sz w:val="30"/>
          <w:szCs w:val="30"/>
        </w:rPr>
      </w:pPr>
      <w:r>
        <w:rPr>
          <w:rStyle w:val="a5"/>
          <w:rFonts w:ascii="Arial" w:hAnsi="Arial" w:cs="Arial"/>
          <w:sz w:val="30"/>
          <w:szCs w:val="30"/>
        </w:rPr>
        <w:t>2015</w:t>
      </w:r>
      <w:r>
        <w:rPr>
          <w:rStyle w:val="a5"/>
          <w:rFonts w:ascii="Arial" w:hAnsi="Arial" w:cs="Arial"/>
          <w:sz w:val="30"/>
          <w:szCs w:val="30"/>
        </w:rPr>
        <w:t>年度广东省公益研究与能力建设专项申报指南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一、省属科研机构改革创新领域（专题一）</w:t>
      </w:r>
      <w:bookmarkStart w:id="0" w:name="_GoBack"/>
      <w:bookmarkEnd w:id="0"/>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为贯彻党的十八届三中全会和省委十一届四次会议精神，落实《中共广东省委</w:t>
      </w:r>
      <w:r>
        <w:rPr>
          <w:rFonts w:ascii="Arial" w:hAnsi="Arial" w:cs="Arial"/>
          <w:sz w:val="21"/>
          <w:szCs w:val="21"/>
        </w:rPr>
        <w:t xml:space="preserve"> </w:t>
      </w:r>
      <w:r>
        <w:rPr>
          <w:rFonts w:ascii="Arial" w:hAnsi="Arial" w:cs="Arial"/>
          <w:sz w:val="21"/>
          <w:szCs w:val="21"/>
        </w:rPr>
        <w:t>广东省人民政府关于全面深化科技体制改革加快创新驱动发展的决定》（粤发〔</w:t>
      </w:r>
      <w:r>
        <w:rPr>
          <w:rFonts w:ascii="Arial" w:hAnsi="Arial" w:cs="Arial"/>
          <w:sz w:val="21"/>
          <w:szCs w:val="21"/>
        </w:rPr>
        <w:t>2014</w:t>
      </w:r>
      <w:r>
        <w:rPr>
          <w:rFonts w:ascii="Arial" w:hAnsi="Arial" w:cs="Arial"/>
          <w:sz w:val="21"/>
          <w:szCs w:val="21"/>
        </w:rPr>
        <w:t>〕</w:t>
      </w:r>
      <w:r>
        <w:rPr>
          <w:rFonts w:ascii="Arial" w:hAnsi="Arial" w:cs="Arial"/>
          <w:sz w:val="21"/>
          <w:szCs w:val="21"/>
        </w:rPr>
        <w:t>12</w:t>
      </w:r>
      <w:r>
        <w:rPr>
          <w:rFonts w:ascii="Arial" w:hAnsi="Arial" w:cs="Arial"/>
          <w:sz w:val="21"/>
          <w:szCs w:val="21"/>
        </w:rPr>
        <w:t>号），正确处理好省属科研机构（含已</w:t>
      </w:r>
      <w:proofErr w:type="gramStart"/>
      <w:r>
        <w:rPr>
          <w:rFonts w:ascii="Arial" w:hAnsi="Arial" w:cs="Arial"/>
          <w:sz w:val="21"/>
          <w:szCs w:val="21"/>
        </w:rPr>
        <w:t>转制转企</w:t>
      </w:r>
      <w:proofErr w:type="gramEnd"/>
      <w:r>
        <w:rPr>
          <w:rFonts w:ascii="Arial" w:hAnsi="Arial" w:cs="Arial"/>
          <w:sz w:val="21"/>
          <w:szCs w:val="21"/>
        </w:rPr>
        <w:t>单位，下同）稳定、改革与发展的关系，通过稳定性和竞争性相结合的支持方式，促进省属科研机构提升综合创新能力，不断提高科研成果产出，为我省经济社会转型升级提供科技支撑。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联系人：斯恒</w:t>
      </w:r>
      <w:r>
        <w:rPr>
          <w:rFonts w:ascii="Arial" w:hAnsi="Arial" w:cs="Arial"/>
          <w:sz w:val="21"/>
          <w:szCs w:val="21"/>
        </w:rPr>
        <w:br/>
      </w:r>
      <w:r>
        <w:rPr>
          <w:rFonts w:ascii="Arial" w:hAnsi="Arial" w:cs="Arial"/>
          <w:sz w:val="21"/>
          <w:szCs w:val="21"/>
        </w:rPr>
        <w:t xml:space="preserve">　　电话：</w:t>
      </w:r>
      <w:r>
        <w:rPr>
          <w:rFonts w:ascii="Arial" w:hAnsi="Arial" w:cs="Arial"/>
          <w:sz w:val="21"/>
          <w:szCs w:val="21"/>
        </w:rPr>
        <w:t>020-83163910</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w:t>
      </w:r>
      <w:proofErr w:type="gramStart"/>
      <w:r>
        <w:rPr>
          <w:rFonts w:ascii="Arial" w:hAnsi="Arial" w:cs="Arial"/>
          <w:sz w:val="21"/>
          <w:szCs w:val="21"/>
        </w:rPr>
        <w:t>一</w:t>
      </w:r>
      <w:proofErr w:type="gramEnd"/>
      <w:r>
        <w:rPr>
          <w:rFonts w:ascii="Arial" w:hAnsi="Arial" w:cs="Arial"/>
          <w:sz w:val="21"/>
          <w:szCs w:val="21"/>
        </w:rPr>
        <w:t>：省属科研机构竞争性支持创新能力建设项目（专题编号</w:t>
      </w:r>
      <w:r>
        <w:rPr>
          <w:rFonts w:ascii="Arial" w:hAnsi="Arial" w:cs="Arial"/>
          <w:sz w:val="21"/>
          <w:szCs w:val="21"/>
        </w:rPr>
        <w:t>0701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主要支持省属科研机构基础条件和创新能力建设，扶持省属科研机构按照各自职能定位与工作任务，结合我省重大科技专项和经济社会发展目标，加强科研条件和人才队伍建设，开展基础性、战略性、前沿性、公益性科学研究与共性技术开发，加快科技成果转化，提升科技服务能力。</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竞争性支持省属科研机构根据自身实际情况，自主选题，开展优势领域研发活动和创新平台建设，不断解决制约发展的瓶颈问题，推动省属科研机构创新发展。内容包括科技基础条件、技术创新、成果转化、人才培养和引进、平台建设、科技交流与服务和战略研究等。优先支持围绕省重大科技专项、经济社会转型升级选题的项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（二）专题目标及技术经济指标要求。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推动省属科研机构在科研条件建设、社会公共服务能力、科研成果产出、成果转化应用、人才队伍建设等方面取得突破性进展，促进省属科研机构持续创新发展，发挥在区域创新体系中的骨干和引领作用。具体目标如下：</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省属科研机构综合实力大幅提升，</w:t>
      </w:r>
      <w:r>
        <w:rPr>
          <w:rFonts w:ascii="Arial" w:hAnsi="Arial" w:cs="Arial"/>
          <w:sz w:val="21"/>
          <w:szCs w:val="21"/>
        </w:rPr>
        <w:t>8</w:t>
      </w:r>
      <w:r>
        <w:rPr>
          <w:rFonts w:ascii="Arial" w:hAnsi="Arial" w:cs="Arial"/>
          <w:sz w:val="21"/>
          <w:szCs w:val="21"/>
        </w:rPr>
        <w:t>～</w:t>
      </w:r>
      <w:r>
        <w:rPr>
          <w:rFonts w:ascii="Arial" w:hAnsi="Arial" w:cs="Arial"/>
          <w:sz w:val="21"/>
          <w:szCs w:val="21"/>
        </w:rPr>
        <w:t>10</w:t>
      </w:r>
      <w:r>
        <w:rPr>
          <w:rFonts w:ascii="Arial" w:hAnsi="Arial" w:cs="Arial"/>
          <w:sz w:val="21"/>
          <w:szCs w:val="21"/>
        </w:rPr>
        <w:t>家省属科研机构综合实力进入全国一流行列。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2. </w:t>
      </w:r>
      <w:r>
        <w:rPr>
          <w:rFonts w:ascii="Arial" w:hAnsi="Arial" w:cs="Arial"/>
          <w:sz w:val="21"/>
          <w:szCs w:val="21"/>
        </w:rPr>
        <w:t>省属科研机构科技基础条件大幅改善，基本能够适应我省工业、农业、社会发展和科技服务业发展需求，建设完善</w:t>
      </w:r>
      <w:r>
        <w:rPr>
          <w:rFonts w:ascii="Arial" w:hAnsi="Arial" w:cs="Arial"/>
          <w:sz w:val="21"/>
          <w:szCs w:val="21"/>
        </w:rPr>
        <w:t>3</w:t>
      </w:r>
      <w:r>
        <w:rPr>
          <w:rFonts w:ascii="Arial" w:hAnsi="Arial" w:cs="Arial"/>
          <w:sz w:val="21"/>
          <w:szCs w:val="21"/>
        </w:rPr>
        <w:t>～</w:t>
      </w:r>
      <w:r>
        <w:rPr>
          <w:rFonts w:ascii="Arial" w:hAnsi="Arial" w:cs="Arial"/>
          <w:sz w:val="21"/>
          <w:szCs w:val="21"/>
        </w:rPr>
        <w:t>4</w:t>
      </w:r>
      <w:r>
        <w:rPr>
          <w:rFonts w:ascii="Arial" w:hAnsi="Arial" w:cs="Arial"/>
          <w:sz w:val="21"/>
          <w:szCs w:val="21"/>
        </w:rPr>
        <w:t>个以上国内一流科研基地、平台。</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3. </w:t>
      </w:r>
      <w:r>
        <w:rPr>
          <w:rFonts w:ascii="Arial" w:hAnsi="Arial" w:cs="Arial"/>
          <w:sz w:val="21"/>
          <w:szCs w:val="21"/>
        </w:rPr>
        <w:t>知识产权产出量大幅提高，获得新品种（新产品）</w:t>
      </w:r>
      <w:r>
        <w:rPr>
          <w:rFonts w:ascii="Arial" w:hAnsi="Arial" w:cs="Arial"/>
          <w:sz w:val="21"/>
          <w:szCs w:val="21"/>
        </w:rPr>
        <w:t>20</w:t>
      </w:r>
      <w:r>
        <w:rPr>
          <w:rFonts w:ascii="Arial" w:hAnsi="Arial" w:cs="Arial"/>
          <w:sz w:val="21"/>
          <w:szCs w:val="21"/>
        </w:rPr>
        <w:t>个以上，新申请专利超过</w:t>
      </w:r>
      <w:r>
        <w:rPr>
          <w:rFonts w:ascii="Arial" w:hAnsi="Arial" w:cs="Arial"/>
          <w:sz w:val="21"/>
          <w:szCs w:val="21"/>
        </w:rPr>
        <w:t>200</w:t>
      </w:r>
      <w:r>
        <w:rPr>
          <w:rFonts w:ascii="Arial" w:hAnsi="Arial" w:cs="Arial"/>
          <w:sz w:val="21"/>
          <w:szCs w:val="21"/>
        </w:rPr>
        <w:t>件，发表高水平论文</w:t>
      </w:r>
      <w:r>
        <w:rPr>
          <w:rFonts w:ascii="Arial" w:hAnsi="Arial" w:cs="Arial"/>
          <w:sz w:val="21"/>
          <w:szCs w:val="21"/>
        </w:rPr>
        <w:t>200</w:t>
      </w:r>
      <w:r>
        <w:rPr>
          <w:rFonts w:ascii="Arial" w:hAnsi="Arial" w:cs="Arial"/>
          <w:sz w:val="21"/>
          <w:szCs w:val="21"/>
        </w:rPr>
        <w:t>篇以上，制定一批技术标准，取得一批创新成果。</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 xml:space="preserve">4. </w:t>
      </w:r>
      <w:r>
        <w:rPr>
          <w:rFonts w:ascii="Arial" w:hAnsi="Arial" w:cs="Arial"/>
          <w:sz w:val="21"/>
          <w:szCs w:val="21"/>
        </w:rPr>
        <w:t>科技服务能力大幅增强，推广科研技术或科技成果</w:t>
      </w:r>
      <w:r>
        <w:rPr>
          <w:rFonts w:ascii="Arial" w:hAnsi="Arial" w:cs="Arial"/>
          <w:sz w:val="21"/>
          <w:szCs w:val="21"/>
        </w:rPr>
        <w:t>30</w:t>
      </w:r>
      <w:r>
        <w:rPr>
          <w:rFonts w:ascii="Arial" w:hAnsi="Arial" w:cs="Arial"/>
          <w:sz w:val="21"/>
          <w:szCs w:val="21"/>
        </w:rPr>
        <w:t>项以上，为中小</w:t>
      </w:r>
      <w:proofErr w:type="gramStart"/>
      <w:r>
        <w:rPr>
          <w:rFonts w:ascii="Arial" w:hAnsi="Arial" w:cs="Arial"/>
          <w:sz w:val="21"/>
          <w:szCs w:val="21"/>
        </w:rPr>
        <w:t>微企业</w:t>
      </w:r>
      <w:proofErr w:type="gramEnd"/>
      <w:r>
        <w:rPr>
          <w:rFonts w:ascii="Arial" w:hAnsi="Arial" w:cs="Arial"/>
          <w:sz w:val="21"/>
          <w:szCs w:val="21"/>
        </w:rPr>
        <w:t>和政府提供技术研发、咨询和科技政策咨询等</w:t>
      </w:r>
      <w:r>
        <w:rPr>
          <w:rFonts w:ascii="Arial" w:hAnsi="Arial" w:cs="Arial"/>
          <w:sz w:val="21"/>
          <w:szCs w:val="21"/>
        </w:rPr>
        <w:t xml:space="preserve"> </w:t>
      </w:r>
      <w:r>
        <w:rPr>
          <w:rFonts w:ascii="Arial" w:hAnsi="Arial" w:cs="Arial"/>
          <w:sz w:val="21"/>
          <w:szCs w:val="21"/>
        </w:rPr>
        <w:t>相关服务超过</w:t>
      </w:r>
      <w:r>
        <w:rPr>
          <w:rFonts w:ascii="Arial" w:hAnsi="Arial" w:cs="Arial"/>
          <w:sz w:val="21"/>
          <w:szCs w:val="21"/>
        </w:rPr>
        <w:t>1000</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项目申报单位应为省属科研机构（要求上传省编办批准的单位机构编制文件），每个单位限报本专题项目</w:t>
      </w:r>
      <w:r>
        <w:rPr>
          <w:rFonts w:ascii="Arial" w:hAnsi="Arial" w:cs="Arial"/>
          <w:sz w:val="21"/>
          <w:szCs w:val="21"/>
        </w:rPr>
        <w:t>1</w:t>
      </w:r>
      <w:r>
        <w:rPr>
          <w:rFonts w:ascii="Arial" w:hAnsi="Arial" w:cs="Arial"/>
          <w:sz w:val="21"/>
          <w:szCs w:val="21"/>
        </w:rPr>
        <w:t>项，围绕项目内容自主选题，项目实施期限不超过</w:t>
      </w:r>
      <w:r>
        <w:rPr>
          <w:rFonts w:ascii="Arial" w:hAnsi="Arial" w:cs="Arial"/>
          <w:sz w:val="21"/>
          <w:szCs w:val="21"/>
        </w:rPr>
        <w:t>2</w:t>
      </w:r>
      <w:r>
        <w:rPr>
          <w:rFonts w:ascii="Arial" w:hAnsi="Arial" w:cs="Arial"/>
          <w:sz w:val="21"/>
          <w:szCs w:val="21"/>
        </w:rPr>
        <w:t>年。</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项目负责人。项目负责人原则上是申报单位负责人。</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本专题采用无偿、事前、直接资助方式。</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项目按年度申报，分</w:t>
      </w:r>
      <w:r>
        <w:rPr>
          <w:rFonts w:ascii="Arial" w:hAnsi="Arial" w:cs="Arial"/>
          <w:sz w:val="21"/>
          <w:szCs w:val="21"/>
        </w:rPr>
        <w:t>3</w:t>
      </w:r>
      <w:r>
        <w:rPr>
          <w:rFonts w:ascii="Arial" w:hAnsi="Arial" w:cs="Arial"/>
          <w:sz w:val="21"/>
          <w:szCs w:val="21"/>
        </w:rPr>
        <w:t>个档次申报和立项，一档每项</w:t>
      </w:r>
      <w:r>
        <w:rPr>
          <w:rFonts w:ascii="Arial" w:hAnsi="Arial" w:cs="Arial"/>
          <w:sz w:val="21"/>
          <w:szCs w:val="21"/>
        </w:rPr>
        <w:t>300</w:t>
      </w:r>
      <w:r>
        <w:rPr>
          <w:rFonts w:ascii="Arial" w:hAnsi="Arial" w:cs="Arial"/>
          <w:sz w:val="21"/>
          <w:szCs w:val="21"/>
        </w:rPr>
        <w:t>万元，二档每项</w:t>
      </w:r>
      <w:r>
        <w:rPr>
          <w:rFonts w:ascii="Arial" w:hAnsi="Arial" w:cs="Arial"/>
          <w:sz w:val="21"/>
          <w:szCs w:val="21"/>
        </w:rPr>
        <w:t>200</w:t>
      </w:r>
      <w:r>
        <w:rPr>
          <w:rFonts w:ascii="Arial" w:hAnsi="Arial" w:cs="Arial"/>
          <w:sz w:val="21"/>
          <w:szCs w:val="21"/>
        </w:rPr>
        <w:t>万元，三档每项</w:t>
      </w:r>
      <w:r>
        <w:rPr>
          <w:rFonts w:ascii="Arial" w:hAnsi="Arial" w:cs="Arial"/>
          <w:sz w:val="21"/>
          <w:szCs w:val="21"/>
        </w:rPr>
        <w:t>100</w:t>
      </w:r>
      <w:r>
        <w:rPr>
          <w:rFonts w:ascii="Arial" w:hAnsi="Arial" w:cs="Arial"/>
          <w:sz w:val="21"/>
          <w:szCs w:val="21"/>
        </w:rPr>
        <w:t>万元。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二、工业高新技术领域（专题二）</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以发展高新技术产业、培育战略性新兴产业、提升和改造传统产业各领域的基础研究、关键技术攻关以及技术产品开发及产业创新管理技术研发为主要任务，着力提升公益研究机构的创新能力和成果转化能力。</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联系人：郭秀强</w:t>
      </w:r>
      <w:r>
        <w:rPr>
          <w:rFonts w:ascii="Arial" w:hAnsi="Arial" w:cs="Arial"/>
          <w:sz w:val="21"/>
          <w:szCs w:val="21"/>
        </w:rPr>
        <w:br/>
      </w:r>
      <w:r>
        <w:rPr>
          <w:rFonts w:ascii="Arial" w:hAnsi="Arial" w:cs="Arial"/>
          <w:sz w:val="21"/>
          <w:szCs w:val="21"/>
        </w:rPr>
        <w:t xml:space="preserve">　　联系电话：</w:t>
      </w:r>
      <w:r>
        <w:rPr>
          <w:rFonts w:ascii="Arial" w:hAnsi="Arial" w:cs="Arial"/>
          <w:sz w:val="21"/>
          <w:szCs w:val="21"/>
        </w:rPr>
        <w:t>020-83163874</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专题二：产业技术创新（专题编号</w:t>
      </w:r>
      <w:r>
        <w:rPr>
          <w:rFonts w:ascii="Arial" w:hAnsi="Arial" w:cs="Arial"/>
          <w:sz w:val="21"/>
          <w:szCs w:val="21"/>
        </w:rPr>
        <w:t>0101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重点支持制造信息化智能化、文化与科技融合、创新管理应用等方面的产业提升关键技术攻关与服务开发。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（二）专题目标。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面向重大产业技术创新提升需求，应用先进适用技术、方法提升相关产业工艺、产品性能、创新管理水平，推动产业转型升级。</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支持省内注册的科研机构、高校、行政机关、事业单位和行业组织申报，申报单位应具有独立法人资格。</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（四）支持方式与强度。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采用无偿补助方式，支持强度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三、农村科技领域（专题三</w:t>
      </w:r>
      <w:r>
        <w:rPr>
          <w:rFonts w:ascii="Arial" w:hAnsi="Arial" w:cs="Arial"/>
          <w:sz w:val="21"/>
          <w:szCs w:val="21"/>
        </w:rPr>
        <w:t>—</w:t>
      </w:r>
      <w:r>
        <w:rPr>
          <w:rFonts w:ascii="Arial" w:hAnsi="Arial" w:cs="Arial"/>
          <w:sz w:val="21"/>
          <w:szCs w:val="21"/>
        </w:rPr>
        <w:t>专题十三）</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为深入贯彻国家和省委省政府促进现代农业发展和新农村建设有关精神，按照《关于印发</w:t>
      </w:r>
      <w:r>
        <w:rPr>
          <w:rFonts w:ascii="Arial" w:hAnsi="Arial" w:cs="Arial"/>
          <w:sz w:val="21"/>
          <w:szCs w:val="21"/>
        </w:rPr>
        <w:t>“</w:t>
      </w:r>
      <w:r>
        <w:rPr>
          <w:rFonts w:ascii="Arial" w:hAnsi="Arial" w:cs="Arial"/>
          <w:sz w:val="21"/>
          <w:szCs w:val="21"/>
        </w:rPr>
        <w:t>十二五</w:t>
      </w:r>
      <w:r>
        <w:rPr>
          <w:rFonts w:ascii="Arial" w:hAnsi="Arial" w:cs="Arial"/>
          <w:sz w:val="21"/>
          <w:szCs w:val="21"/>
        </w:rPr>
        <w:t>”</w:t>
      </w:r>
      <w:r>
        <w:rPr>
          <w:rFonts w:ascii="Arial" w:hAnsi="Arial" w:cs="Arial"/>
          <w:sz w:val="21"/>
          <w:szCs w:val="21"/>
        </w:rPr>
        <w:t>农业与农村科技发展规划的通知》</w:t>
      </w:r>
      <w:r>
        <w:rPr>
          <w:rFonts w:ascii="Arial" w:hAnsi="Arial" w:cs="Arial"/>
          <w:sz w:val="21"/>
          <w:szCs w:val="21"/>
        </w:rPr>
        <w:t>(</w:t>
      </w:r>
      <w:r>
        <w:rPr>
          <w:rFonts w:ascii="Arial" w:hAnsi="Arial" w:cs="Arial"/>
          <w:sz w:val="21"/>
          <w:szCs w:val="21"/>
        </w:rPr>
        <w:t>国</w:t>
      </w:r>
      <w:proofErr w:type="gramStart"/>
      <w:r>
        <w:rPr>
          <w:rFonts w:ascii="Arial" w:hAnsi="Arial" w:cs="Arial"/>
          <w:sz w:val="21"/>
          <w:szCs w:val="21"/>
        </w:rPr>
        <w:t>科发农〔</w:t>
      </w:r>
      <w:r>
        <w:rPr>
          <w:rFonts w:ascii="Arial" w:hAnsi="Arial" w:cs="Arial"/>
          <w:sz w:val="21"/>
          <w:szCs w:val="21"/>
        </w:rPr>
        <w:t>2012</w:t>
      </w:r>
      <w:r>
        <w:rPr>
          <w:rFonts w:ascii="Arial" w:hAnsi="Arial" w:cs="Arial"/>
          <w:sz w:val="21"/>
          <w:szCs w:val="21"/>
        </w:rPr>
        <w:t>〕</w:t>
      </w:r>
      <w:proofErr w:type="gramEnd"/>
      <w:r>
        <w:rPr>
          <w:rFonts w:ascii="Arial" w:hAnsi="Arial" w:cs="Arial"/>
          <w:sz w:val="21"/>
          <w:szCs w:val="21"/>
        </w:rPr>
        <w:t>98</w:t>
      </w:r>
      <w:r>
        <w:rPr>
          <w:rFonts w:ascii="Arial" w:hAnsi="Arial" w:cs="Arial"/>
          <w:sz w:val="21"/>
          <w:szCs w:val="21"/>
        </w:rPr>
        <w:t>号</w:t>
      </w:r>
      <w:r>
        <w:rPr>
          <w:rFonts w:ascii="Arial" w:hAnsi="Arial" w:cs="Arial"/>
          <w:sz w:val="21"/>
          <w:szCs w:val="21"/>
        </w:rPr>
        <w:t>)</w:t>
      </w:r>
      <w:r>
        <w:rPr>
          <w:rFonts w:ascii="Arial" w:hAnsi="Arial" w:cs="Arial"/>
          <w:sz w:val="21"/>
          <w:szCs w:val="21"/>
        </w:rPr>
        <w:t>和《关于全面深化科技体制改革加快创新驱动发展的决定》</w:t>
      </w:r>
      <w:r>
        <w:rPr>
          <w:rFonts w:ascii="Arial" w:hAnsi="Arial" w:cs="Arial"/>
          <w:sz w:val="21"/>
          <w:szCs w:val="21"/>
        </w:rPr>
        <w:t>(</w:t>
      </w:r>
      <w:r>
        <w:rPr>
          <w:rFonts w:ascii="Arial" w:hAnsi="Arial" w:cs="Arial"/>
          <w:sz w:val="21"/>
          <w:szCs w:val="21"/>
        </w:rPr>
        <w:t>粤发〔</w:t>
      </w:r>
      <w:r>
        <w:rPr>
          <w:rFonts w:ascii="Arial" w:hAnsi="Arial" w:cs="Arial"/>
          <w:sz w:val="21"/>
          <w:szCs w:val="21"/>
        </w:rPr>
        <w:t>2014</w:t>
      </w:r>
      <w:r>
        <w:rPr>
          <w:rFonts w:ascii="Arial" w:hAnsi="Arial" w:cs="Arial"/>
          <w:sz w:val="21"/>
          <w:szCs w:val="21"/>
        </w:rPr>
        <w:t>〕</w:t>
      </w:r>
      <w:r>
        <w:rPr>
          <w:rFonts w:ascii="Arial" w:hAnsi="Arial" w:cs="Arial"/>
          <w:sz w:val="21"/>
          <w:szCs w:val="21"/>
        </w:rPr>
        <w:t>12</w:t>
      </w:r>
      <w:r>
        <w:rPr>
          <w:rFonts w:ascii="Arial" w:hAnsi="Arial" w:cs="Arial"/>
          <w:sz w:val="21"/>
          <w:szCs w:val="21"/>
        </w:rPr>
        <w:t>号</w:t>
      </w:r>
      <w:r>
        <w:rPr>
          <w:rFonts w:ascii="Arial" w:hAnsi="Arial" w:cs="Arial"/>
          <w:sz w:val="21"/>
          <w:szCs w:val="21"/>
        </w:rPr>
        <w:t>)</w:t>
      </w:r>
      <w:r>
        <w:rPr>
          <w:rFonts w:ascii="Arial" w:hAnsi="Arial" w:cs="Arial"/>
          <w:sz w:val="21"/>
          <w:szCs w:val="21"/>
        </w:rPr>
        <w:t>要求，结合我省农业和农村可持续发展的重大科技需求，制订</w:t>
      </w:r>
      <w:r>
        <w:rPr>
          <w:rFonts w:ascii="Arial" w:hAnsi="Arial" w:cs="Arial"/>
          <w:sz w:val="21"/>
          <w:szCs w:val="21"/>
        </w:rPr>
        <w:t>2015</w:t>
      </w:r>
      <w:r>
        <w:rPr>
          <w:rFonts w:ascii="Arial" w:hAnsi="Arial" w:cs="Arial"/>
          <w:sz w:val="21"/>
          <w:szCs w:val="21"/>
        </w:rPr>
        <w:t>年度农村科技领域科技专题计划申报指南。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联系人：叶毓峰</w:t>
      </w:r>
      <w:r>
        <w:rPr>
          <w:rFonts w:ascii="Arial" w:hAnsi="Arial" w:cs="Arial"/>
          <w:sz w:val="21"/>
          <w:szCs w:val="21"/>
        </w:rPr>
        <w:br/>
      </w:r>
      <w:r>
        <w:rPr>
          <w:rFonts w:ascii="Arial" w:hAnsi="Arial" w:cs="Arial"/>
          <w:sz w:val="21"/>
          <w:szCs w:val="21"/>
        </w:rPr>
        <w:t xml:space="preserve">　　联系电话：</w:t>
      </w:r>
      <w:r>
        <w:rPr>
          <w:rFonts w:ascii="Arial" w:hAnsi="Arial" w:cs="Arial"/>
          <w:sz w:val="21"/>
          <w:szCs w:val="21"/>
        </w:rPr>
        <w:t>020-83163906</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w:t>
      </w:r>
      <w:r>
        <w:rPr>
          <w:rFonts w:ascii="Arial" w:hAnsi="Arial" w:cs="Arial"/>
          <w:sz w:val="21"/>
          <w:szCs w:val="21"/>
        </w:rPr>
        <w:t>:</w:t>
      </w:r>
      <w:r>
        <w:rPr>
          <w:rFonts w:ascii="Arial" w:hAnsi="Arial" w:cs="Arial"/>
          <w:sz w:val="21"/>
          <w:szCs w:val="21"/>
        </w:rPr>
        <w:t>农业基因工程技术（专题编号</w:t>
      </w:r>
      <w:r>
        <w:rPr>
          <w:rFonts w:ascii="Arial" w:hAnsi="Arial" w:cs="Arial"/>
          <w:sz w:val="21"/>
          <w:szCs w:val="21"/>
        </w:rPr>
        <w:t>0201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基因组编辑技术；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基因组关联分析技术。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获得</w:t>
      </w:r>
      <w:r>
        <w:rPr>
          <w:rFonts w:ascii="Arial" w:hAnsi="Arial" w:cs="Arial"/>
          <w:sz w:val="21"/>
          <w:szCs w:val="21"/>
        </w:rPr>
        <w:t>1</w:t>
      </w:r>
      <w:r>
        <w:rPr>
          <w:rFonts w:ascii="Arial" w:hAnsi="Arial" w:cs="Arial"/>
          <w:sz w:val="21"/>
          <w:szCs w:val="21"/>
        </w:rPr>
        <w:t>套以上基因组定点编辑技术，获得基因组定点编辑后的转化生物体；获得</w:t>
      </w:r>
      <w:r>
        <w:rPr>
          <w:rFonts w:ascii="Arial" w:hAnsi="Arial" w:cs="Arial"/>
          <w:sz w:val="21"/>
          <w:szCs w:val="21"/>
        </w:rPr>
        <w:t>1</w:t>
      </w:r>
      <w:r>
        <w:rPr>
          <w:rFonts w:ascii="Arial" w:hAnsi="Arial" w:cs="Arial"/>
          <w:sz w:val="21"/>
          <w:szCs w:val="21"/>
        </w:rPr>
        <w:t>套以上基因组关联分析技术并应用，获得</w:t>
      </w:r>
      <w:r>
        <w:rPr>
          <w:rFonts w:ascii="Arial" w:hAnsi="Arial" w:cs="Arial"/>
          <w:sz w:val="21"/>
          <w:szCs w:val="21"/>
        </w:rPr>
        <w:t>1</w:t>
      </w:r>
      <w:r>
        <w:rPr>
          <w:rFonts w:ascii="Arial" w:hAnsi="Arial" w:cs="Arial"/>
          <w:sz w:val="21"/>
          <w:szCs w:val="21"/>
        </w:rPr>
        <w:t>批优良育种材料。</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项目主持人须有良好的基因研究基础；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所研究的基因须为重要性状控制基因。</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专题四</w:t>
      </w:r>
      <w:r>
        <w:rPr>
          <w:rFonts w:ascii="Arial" w:hAnsi="Arial" w:cs="Arial"/>
          <w:sz w:val="21"/>
          <w:szCs w:val="21"/>
        </w:rPr>
        <w:t>:</w:t>
      </w:r>
      <w:r>
        <w:rPr>
          <w:rFonts w:ascii="Arial" w:hAnsi="Arial" w:cs="Arial"/>
          <w:sz w:val="21"/>
          <w:szCs w:val="21"/>
        </w:rPr>
        <w:t>优势特色动植物新品种选育（专题编号</w:t>
      </w:r>
      <w:r>
        <w:rPr>
          <w:rFonts w:ascii="Arial" w:hAnsi="Arial" w:cs="Arial"/>
          <w:sz w:val="21"/>
          <w:szCs w:val="21"/>
        </w:rPr>
        <w:t>0202</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水稻新品种选育；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优势特色果树新品种选育；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3.</w:t>
      </w:r>
      <w:r>
        <w:rPr>
          <w:rFonts w:ascii="Arial" w:hAnsi="Arial" w:cs="Arial"/>
          <w:sz w:val="21"/>
          <w:szCs w:val="21"/>
        </w:rPr>
        <w:t>优势特色作物新品种选育；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优势特色林木茶叶花卉新品种选育；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优势特色水产新品种选育；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优良畜禽新品种选育。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获得一批动植物育种共性关键技术；育成一批动植物优良新品种</w:t>
      </w:r>
      <w:r>
        <w:rPr>
          <w:rFonts w:ascii="Arial" w:hAnsi="Arial" w:cs="Arial"/>
          <w:sz w:val="21"/>
          <w:szCs w:val="21"/>
        </w:rPr>
        <w:t>(</w:t>
      </w:r>
      <w:r>
        <w:rPr>
          <w:rFonts w:ascii="Arial" w:hAnsi="Arial" w:cs="Arial"/>
          <w:sz w:val="21"/>
          <w:szCs w:val="21"/>
        </w:rPr>
        <w:t>系</w:t>
      </w:r>
      <w:r>
        <w:rPr>
          <w:rFonts w:ascii="Arial" w:hAnsi="Arial" w:cs="Arial"/>
          <w:sz w:val="21"/>
          <w:szCs w:val="21"/>
        </w:rPr>
        <w:t>)</w:t>
      </w:r>
      <w:r>
        <w:rPr>
          <w:rFonts w:ascii="Arial" w:hAnsi="Arial" w:cs="Arial"/>
          <w:sz w:val="21"/>
          <w:szCs w:val="21"/>
        </w:rPr>
        <w:t>，其中所选育的植物新品种</w:t>
      </w:r>
      <w:r>
        <w:rPr>
          <w:rFonts w:ascii="Arial" w:hAnsi="Arial" w:cs="Arial"/>
          <w:sz w:val="21"/>
          <w:szCs w:val="21"/>
        </w:rPr>
        <w:t>(</w:t>
      </w:r>
      <w:r>
        <w:rPr>
          <w:rFonts w:ascii="Arial" w:hAnsi="Arial" w:cs="Arial"/>
          <w:sz w:val="21"/>
          <w:szCs w:val="21"/>
        </w:rPr>
        <w:t>系</w:t>
      </w:r>
      <w:r>
        <w:rPr>
          <w:rFonts w:ascii="Arial" w:hAnsi="Arial" w:cs="Arial"/>
          <w:sz w:val="21"/>
          <w:szCs w:val="21"/>
        </w:rPr>
        <w:t>)</w:t>
      </w:r>
      <w:r>
        <w:rPr>
          <w:rFonts w:ascii="Arial" w:hAnsi="Arial" w:cs="Arial"/>
          <w:sz w:val="21"/>
          <w:szCs w:val="21"/>
        </w:rPr>
        <w:t>须通过品种审定或认定，动物新品</w:t>
      </w:r>
      <w:proofErr w:type="gramStart"/>
      <w:r>
        <w:rPr>
          <w:rFonts w:ascii="Arial" w:hAnsi="Arial" w:cs="Arial"/>
          <w:sz w:val="21"/>
          <w:szCs w:val="21"/>
        </w:rPr>
        <w:t>种要求育</w:t>
      </w:r>
      <w:proofErr w:type="gramEnd"/>
      <w:r>
        <w:rPr>
          <w:rFonts w:ascii="Arial" w:hAnsi="Arial" w:cs="Arial"/>
          <w:sz w:val="21"/>
          <w:szCs w:val="21"/>
        </w:rPr>
        <w:t>成专门化品系或者配套系；培育一批育种科技创新团队和学术带头人；新品种在一定区域内示范推广后获得良好的社会经济效益。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项目主持人须有良好品种选育基础；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项目须以产学研结合方式申报并实施；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新品种选育对象：水稻新品种；抗黄龙病柑桔新品种、抗枯萎病香蕉、优质特晚熟或特早熟耐储运荔枝和龙眼新品种；优质抗逆甜玉米、甘薯新品种；优质抗逆茄子、节瓜、辣椒新品种；优质龙脑</w:t>
      </w:r>
      <w:proofErr w:type="gramStart"/>
      <w:r>
        <w:rPr>
          <w:rFonts w:ascii="Arial" w:hAnsi="Arial" w:cs="Arial"/>
          <w:sz w:val="21"/>
          <w:szCs w:val="21"/>
        </w:rPr>
        <w:t>樟</w:t>
      </w:r>
      <w:proofErr w:type="gramEnd"/>
      <w:r>
        <w:rPr>
          <w:rFonts w:ascii="Arial" w:hAnsi="Arial" w:cs="Arial"/>
          <w:sz w:val="21"/>
          <w:szCs w:val="21"/>
        </w:rPr>
        <w:t>、优质高产油茶、茶叶，生长周期短且花期长的微型兰花新品种；优良</w:t>
      </w:r>
      <w:proofErr w:type="gramStart"/>
      <w:r>
        <w:rPr>
          <w:rFonts w:ascii="Arial" w:hAnsi="Arial" w:cs="Arial"/>
          <w:sz w:val="21"/>
          <w:szCs w:val="21"/>
        </w:rPr>
        <w:t>糙</w:t>
      </w:r>
      <w:proofErr w:type="gramEnd"/>
      <w:r>
        <w:rPr>
          <w:rFonts w:ascii="Arial" w:hAnsi="Arial" w:cs="Arial"/>
          <w:sz w:val="21"/>
          <w:szCs w:val="21"/>
        </w:rPr>
        <w:t>海参、石斑鱼新品种；优良肉鸽、鹅、地方羊新品种。</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2. </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专题五</w:t>
      </w:r>
      <w:r>
        <w:rPr>
          <w:rFonts w:ascii="Arial" w:hAnsi="Arial" w:cs="Arial"/>
          <w:sz w:val="21"/>
          <w:szCs w:val="21"/>
        </w:rPr>
        <w:t>:</w:t>
      </w:r>
      <w:r>
        <w:rPr>
          <w:rFonts w:ascii="Arial" w:hAnsi="Arial" w:cs="Arial"/>
          <w:sz w:val="21"/>
          <w:szCs w:val="21"/>
        </w:rPr>
        <w:t>动植物重大有害生物防控关键技术研究（专题编号</w:t>
      </w:r>
      <w:r>
        <w:rPr>
          <w:rFonts w:ascii="Arial" w:hAnsi="Arial" w:cs="Arial"/>
          <w:sz w:val="21"/>
          <w:szCs w:val="21"/>
        </w:rPr>
        <w:t>0203</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动物重大有害生物综合防控关键技术；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植物重大有害生物综合防控关键技术；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安全高效动物疫苗。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1.</w:t>
      </w:r>
      <w:r>
        <w:rPr>
          <w:rFonts w:ascii="Arial" w:hAnsi="Arial" w:cs="Arial"/>
          <w:sz w:val="21"/>
          <w:szCs w:val="21"/>
        </w:rPr>
        <w:t>动植物重大有害生物综合防控关键技术</w:t>
      </w:r>
      <w:r>
        <w:rPr>
          <w:rFonts w:ascii="Arial" w:hAnsi="Arial" w:cs="Arial"/>
          <w:sz w:val="21"/>
          <w:szCs w:val="21"/>
        </w:rPr>
        <w:t>:</w:t>
      </w:r>
      <w:r>
        <w:rPr>
          <w:rFonts w:ascii="Arial" w:hAnsi="Arial" w:cs="Arial"/>
          <w:sz w:val="21"/>
          <w:szCs w:val="21"/>
        </w:rPr>
        <w:t>研究动植物重大有害生物流行病学，建立一批检测诊断技术、获得一批综合防控关键技术、制定一批重大有害生物防控规程、开发一批重大有害生物防控产品、建立一批综合防控技术示范点；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高效动物疫苗研究</w:t>
      </w:r>
      <w:r>
        <w:rPr>
          <w:rFonts w:ascii="Arial" w:hAnsi="Arial" w:cs="Arial"/>
          <w:sz w:val="21"/>
          <w:szCs w:val="21"/>
        </w:rPr>
        <w:t>:</w:t>
      </w:r>
      <w:r>
        <w:rPr>
          <w:rFonts w:ascii="Arial" w:hAnsi="Arial" w:cs="Arial"/>
          <w:sz w:val="21"/>
          <w:szCs w:val="21"/>
        </w:rPr>
        <w:t>获得一批我省主要养殖品种新型安全高效疫苗研制关键技术；开发出一批获得中试许可或新兽药证书的疫苗产品；形成一批具有自主知识产权的科技成果；通过应用示范获得良好社会经济效益。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项目主持人须有良好的动植物有害生物防控技术研究或疫苗开发基础；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项目须以产学研结合方式申报并实施，同时须有粤东西北地区的单位参与项目技术或产品的应用示范；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动植物重大疫病项目研究对象为：</w:t>
      </w:r>
      <w:proofErr w:type="gramStart"/>
      <w:r>
        <w:rPr>
          <w:rFonts w:ascii="Arial" w:hAnsi="Arial" w:cs="Arial"/>
          <w:sz w:val="21"/>
          <w:szCs w:val="21"/>
        </w:rPr>
        <w:t>猪伪狂犬病</w:t>
      </w:r>
      <w:proofErr w:type="gramEnd"/>
      <w:r>
        <w:rPr>
          <w:rFonts w:ascii="Arial" w:hAnsi="Arial" w:cs="Arial"/>
          <w:sz w:val="21"/>
          <w:szCs w:val="21"/>
        </w:rPr>
        <w:t>；</w:t>
      </w:r>
      <w:proofErr w:type="gramStart"/>
      <w:r>
        <w:rPr>
          <w:rFonts w:ascii="Arial" w:hAnsi="Arial" w:cs="Arial"/>
          <w:sz w:val="21"/>
          <w:szCs w:val="21"/>
        </w:rPr>
        <w:t>鸭坦布苏</w:t>
      </w:r>
      <w:proofErr w:type="gramEnd"/>
      <w:r>
        <w:rPr>
          <w:rFonts w:ascii="Arial" w:hAnsi="Arial" w:cs="Arial"/>
          <w:sz w:val="21"/>
          <w:szCs w:val="21"/>
        </w:rPr>
        <w:t>病毒；牛流行热；海水鱼神经坏死病；作物青枯病；</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安全高效动物疫苗不包括禽流感疫苗。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2. </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专题六</w:t>
      </w:r>
      <w:r>
        <w:rPr>
          <w:rFonts w:ascii="Arial" w:hAnsi="Arial" w:cs="Arial"/>
          <w:sz w:val="21"/>
          <w:szCs w:val="21"/>
        </w:rPr>
        <w:t>:</w:t>
      </w:r>
      <w:r>
        <w:rPr>
          <w:rFonts w:ascii="Arial" w:hAnsi="Arial" w:cs="Arial"/>
          <w:sz w:val="21"/>
          <w:szCs w:val="21"/>
        </w:rPr>
        <w:t>优势特色农产品精深加工关键技术研究（专题编号</w:t>
      </w:r>
      <w:r>
        <w:rPr>
          <w:rFonts w:ascii="Arial" w:hAnsi="Arial" w:cs="Arial"/>
          <w:sz w:val="21"/>
          <w:szCs w:val="21"/>
        </w:rPr>
        <w:t>0204</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特色果酒产业化关键技术；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林化产品精深加工关键技术；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果蔬汁高效冷冻浓缩技术。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获得一批农产品及副产物精深加工关键技术，建立关键技术集成示范生产线</w:t>
      </w:r>
      <w:r>
        <w:rPr>
          <w:rFonts w:ascii="Arial" w:hAnsi="Arial" w:cs="Arial"/>
          <w:sz w:val="21"/>
          <w:szCs w:val="21"/>
        </w:rPr>
        <w:t>3</w:t>
      </w:r>
      <w:r>
        <w:rPr>
          <w:rFonts w:ascii="Arial" w:hAnsi="Arial" w:cs="Arial"/>
          <w:sz w:val="21"/>
          <w:szCs w:val="21"/>
        </w:rPr>
        <w:t>条以上，研发新设备</w:t>
      </w:r>
      <w:r>
        <w:rPr>
          <w:rFonts w:ascii="Arial" w:hAnsi="Arial" w:cs="Arial"/>
          <w:sz w:val="21"/>
          <w:szCs w:val="21"/>
        </w:rPr>
        <w:t>3</w:t>
      </w:r>
      <w:r>
        <w:rPr>
          <w:rFonts w:ascii="Arial" w:hAnsi="Arial" w:cs="Arial"/>
          <w:sz w:val="21"/>
          <w:szCs w:val="21"/>
        </w:rPr>
        <w:t>套以上，开发一批精深加工原料中间体和新产品，申请</w:t>
      </w:r>
      <w:proofErr w:type="gramStart"/>
      <w:r>
        <w:rPr>
          <w:rFonts w:ascii="Arial" w:hAnsi="Arial" w:cs="Arial"/>
          <w:sz w:val="21"/>
          <w:szCs w:val="21"/>
        </w:rPr>
        <w:t>一</w:t>
      </w:r>
      <w:proofErr w:type="gramEnd"/>
      <w:r>
        <w:rPr>
          <w:rFonts w:ascii="Arial" w:hAnsi="Arial" w:cs="Arial"/>
          <w:sz w:val="21"/>
          <w:szCs w:val="21"/>
        </w:rPr>
        <w:t>批发明专利，制定相关产品备案标准</w:t>
      </w:r>
      <w:r>
        <w:rPr>
          <w:rFonts w:ascii="Arial" w:hAnsi="Arial" w:cs="Arial"/>
          <w:sz w:val="21"/>
          <w:szCs w:val="21"/>
        </w:rPr>
        <w:t>6</w:t>
      </w:r>
      <w:r>
        <w:rPr>
          <w:rFonts w:ascii="Arial" w:hAnsi="Arial" w:cs="Arial"/>
          <w:sz w:val="21"/>
          <w:szCs w:val="21"/>
        </w:rPr>
        <w:t>项以上，技术示范推广后获得良好的社会经济效益。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项目主持人须有良好的植物产品深加工研究基础；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项目须以产学研结合方式申报并实施；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本专题所指优势特色农产品为我省优势特色水果、林产品和蔬菜。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 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专题七</w:t>
      </w:r>
      <w:proofErr w:type="gramEnd"/>
      <w:r>
        <w:rPr>
          <w:rFonts w:ascii="Arial" w:hAnsi="Arial" w:cs="Arial"/>
          <w:sz w:val="21"/>
          <w:szCs w:val="21"/>
        </w:rPr>
        <w:t>:</w:t>
      </w:r>
      <w:r>
        <w:rPr>
          <w:rFonts w:ascii="Arial" w:hAnsi="Arial" w:cs="Arial"/>
          <w:sz w:val="21"/>
          <w:szCs w:val="21"/>
        </w:rPr>
        <w:t>食品安全关键技术研究（专题编号</w:t>
      </w:r>
      <w:r>
        <w:rPr>
          <w:rFonts w:ascii="Arial" w:hAnsi="Arial" w:cs="Arial"/>
          <w:sz w:val="21"/>
          <w:szCs w:val="21"/>
        </w:rPr>
        <w:t>0205</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高效安全食品添加剂开发及其绿色生产关键技术；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食品加工过程有害物质快速检测与控制关键技术；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水产品安全保活保鲜关键技术。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 (</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开发出一批安全高效食品添加剂；获得一批食品添加剂绿色生产关键技术、开发</w:t>
      </w:r>
      <w:r>
        <w:rPr>
          <w:rFonts w:ascii="Arial" w:hAnsi="Arial" w:cs="Arial"/>
          <w:sz w:val="21"/>
          <w:szCs w:val="21"/>
        </w:rPr>
        <w:t>2</w:t>
      </w:r>
      <w:r>
        <w:rPr>
          <w:rFonts w:ascii="Arial" w:hAnsi="Arial" w:cs="Arial"/>
          <w:sz w:val="21"/>
          <w:szCs w:val="21"/>
        </w:rPr>
        <w:t>项以上有害物质快速检测与控制技术、</w:t>
      </w:r>
      <w:r>
        <w:rPr>
          <w:rFonts w:ascii="Arial" w:hAnsi="Arial" w:cs="Arial"/>
          <w:sz w:val="21"/>
          <w:szCs w:val="21"/>
        </w:rPr>
        <w:t>2</w:t>
      </w:r>
      <w:r>
        <w:rPr>
          <w:rFonts w:ascii="Arial" w:hAnsi="Arial" w:cs="Arial"/>
          <w:sz w:val="21"/>
          <w:szCs w:val="21"/>
        </w:rPr>
        <w:t>项以上水产品安全保活保鲜关键技术；技术成果在企业产业化应用示范并获得良好的社会经济效益。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申报单位为高校研究院所等事业单位，企业不能主持申报；</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项目主持人须有食品安全研究基础；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高效安全食品添加剂研究对象为新型鲜味料、甜味剂；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项目须以产学研结合方式申报并实施。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 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专题八</w:t>
      </w:r>
      <w:proofErr w:type="gramEnd"/>
      <w:r>
        <w:rPr>
          <w:rFonts w:ascii="Arial" w:hAnsi="Arial" w:cs="Arial"/>
          <w:sz w:val="21"/>
          <w:szCs w:val="21"/>
        </w:rPr>
        <w:t>:</w:t>
      </w:r>
      <w:r>
        <w:rPr>
          <w:rFonts w:ascii="Arial" w:hAnsi="Arial" w:cs="Arial"/>
          <w:sz w:val="21"/>
          <w:szCs w:val="21"/>
        </w:rPr>
        <w:t>现代农业装备关键技术研究（专题编号</w:t>
      </w:r>
      <w:r>
        <w:rPr>
          <w:rFonts w:ascii="Arial" w:hAnsi="Arial" w:cs="Arial"/>
          <w:sz w:val="21"/>
          <w:szCs w:val="21"/>
        </w:rPr>
        <w:t>0206</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1.</w:t>
      </w:r>
      <w:r>
        <w:rPr>
          <w:rFonts w:ascii="Arial" w:hAnsi="Arial" w:cs="Arial"/>
          <w:sz w:val="21"/>
          <w:szCs w:val="21"/>
        </w:rPr>
        <w:t>农业航空技术与装备；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水稻全程机械化关键技术与装备；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高效节能水产品加工技术与装备。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开发出一批农业航空关键技术、水稻全程机械化关键技术和高效节能水产品加工技术；研制出一批新型装备；建立一批农业装备技术示范基地；获得一批具有自主产权的科技成果。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项目主持人有良好的农业装备研究基础；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项目须以产学研结合方式申报并实施。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专题九：农业生态关键技术研究（专题编号</w:t>
      </w:r>
      <w:r>
        <w:rPr>
          <w:rFonts w:ascii="Arial" w:hAnsi="Arial" w:cs="Arial"/>
          <w:sz w:val="21"/>
          <w:szCs w:val="21"/>
        </w:rPr>
        <w:t>0207</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农田生态系统有害物质微生物降解关键技术；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中轻度重金属污染农田控制与修复关键技术；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林业生态修复与保护关键技术。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获得一批农田和林业生态关键技术，技术成果在一定区域范围内推广应用并获得良好社会经济效益。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项目主持人须有良好的农业生态技术研究基础；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项目研发的技术成果须在明确的农田或林地应用示范并签订应用示范协议。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专题十：农业产业关键技术集成与应用示范（专题编号</w:t>
      </w:r>
      <w:r>
        <w:rPr>
          <w:rFonts w:ascii="Arial" w:hAnsi="Arial" w:cs="Arial"/>
          <w:sz w:val="21"/>
          <w:szCs w:val="21"/>
        </w:rPr>
        <w:t>0208</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植物安全高效种植关键技术集成与应用示范；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动物高效健康养殖关键技术集成与应用示范；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优势特色农产品加工关键技术集成与应用示范；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食品安全生产关键技术集成与应用示范；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农业生态保护与修复关键技术集成与应用示范。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集成一批农业产业关键技术并在粤东西北地区应用示范；建立一批区域性农业科技成果转化基地；壮大一批农业龙头企业；关键技术示范推广后获得良好的社会经济效益。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高校、研究院所等事业单位牵头，联合粤东西北地区省级以上农业龙头企业共同申报并实施；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研究对象：</w:t>
      </w:r>
      <w:r>
        <w:rPr>
          <w:rFonts w:hint="eastAsia"/>
          <w:sz w:val="21"/>
          <w:szCs w:val="21"/>
        </w:rPr>
        <w:t>①</w:t>
      </w:r>
      <w:r>
        <w:rPr>
          <w:rFonts w:ascii="Arial" w:hAnsi="Arial" w:cs="Arial"/>
          <w:sz w:val="21"/>
          <w:szCs w:val="21"/>
        </w:rPr>
        <w:t>植物安全高效种植关键技术集成与应用示范研究对象为水稻、冬种马铃薯、甜</w:t>
      </w:r>
      <w:r>
        <w:rPr>
          <w:rFonts w:ascii="Arial" w:hAnsi="Arial" w:cs="Arial"/>
          <w:sz w:val="21"/>
          <w:szCs w:val="21"/>
        </w:rPr>
        <w:t>(</w:t>
      </w:r>
      <w:proofErr w:type="gramStart"/>
      <w:r>
        <w:rPr>
          <w:rFonts w:ascii="Arial" w:hAnsi="Arial" w:cs="Arial"/>
          <w:sz w:val="21"/>
          <w:szCs w:val="21"/>
        </w:rPr>
        <w:t>糯</w:t>
      </w:r>
      <w:proofErr w:type="gramEnd"/>
      <w:r>
        <w:rPr>
          <w:rFonts w:ascii="Arial" w:hAnsi="Arial" w:cs="Arial"/>
          <w:sz w:val="21"/>
          <w:szCs w:val="21"/>
        </w:rPr>
        <w:t>)</w:t>
      </w:r>
      <w:r>
        <w:rPr>
          <w:rFonts w:ascii="Arial" w:hAnsi="Arial" w:cs="Arial"/>
          <w:sz w:val="21"/>
          <w:szCs w:val="21"/>
        </w:rPr>
        <w:t>玉米、花生、优势大宗蔬菜、优势特色果树、茶叶、油茶、丛生竹、红锥；</w:t>
      </w:r>
      <w:r>
        <w:rPr>
          <w:rFonts w:hint="eastAsia"/>
          <w:sz w:val="21"/>
          <w:szCs w:val="21"/>
        </w:rPr>
        <w:t>②</w:t>
      </w:r>
      <w:r>
        <w:rPr>
          <w:rFonts w:ascii="Arial" w:hAnsi="Arial" w:cs="Arial"/>
          <w:sz w:val="21"/>
          <w:szCs w:val="21"/>
        </w:rPr>
        <w:t>动物高效健康养殖关键技术集成与应用示范研究对象为广东优势养殖品种；</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应用示范区域为粤东西北地区；</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集成应用示范的科技成果来源包括：国家、省、地级以上市科技计划所形成的农业科技成果以及企业、科研院所、高等院校自主研究开发形成的农业科技成果，成果须提供证明材料作为申报附件；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集成</w:t>
      </w:r>
      <w:r>
        <w:rPr>
          <w:rFonts w:ascii="Arial" w:hAnsi="Arial" w:cs="Arial"/>
          <w:sz w:val="21"/>
          <w:szCs w:val="21"/>
        </w:rPr>
        <w:t>2</w:t>
      </w:r>
      <w:r>
        <w:rPr>
          <w:rFonts w:ascii="Arial" w:hAnsi="Arial" w:cs="Arial"/>
          <w:sz w:val="21"/>
          <w:szCs w:val="21"/>
        </w:rPr>
        <w:t>项以上技术成果，其中至少</w:t>
      </w:r>
      <w:r>
        <w:rPr>
          <w:rFonts w:ascii="Arial" w:hAnsi="Arial" w:cs="Arial"/>
          <w:sz w:val="21"/>
          <w:szCs w:val="21"/>
        </w:rPr>
        <w:t>1</w:t>
      </w:r>
      <w:r>
        <w:rPr>
          <w:rFonts w:ascii="Arial" w:hAnsi="Arial" w:cs="Arial"/>
          <w:sz w:val="21"/>
          <w:szCs w:val="21"/>
        </w:rPr>
        <w:t>项</w:t>
      </w:r>
      <w:proofErr w:type="gramStart"/>
      <w:r>
        <w:rPr>
          <w:rFonts w:ascii="Arial" w:hAnsi="Arial" w:cs="Arial"/>
          <w:sz w:val="21"/>
          <w:szCs w:val="21"/>
        </w:rPr>
        <w:t>属项目</w:t>
      </w:r>
      <w:proofErr w:type="gramEnd"/>
      <w:r>
        <w:rPr>
          <w:rFonts w:ascii="Arial" w:hAnsi="Arial" w:cs="Arial"/>
          <w:sz w:val="21"/>
          <w:szCs w:val="21"/>
        </w:rPr>
        <w:t>主持人所有；应用示范以技术为主，可包括相关产品，但不能以产品作为主要应用示范内容。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专题十一</w:t>
      </w:r>
      <w:r>
        <w:rPr>
          <w:rFonts w:ascii="Arial" w:hAnsi="Arial" w:cs="Arial"/>
          <w:sz w:val="21"/>
          <w:szCs w:val="21"/>
        </w:rPr>
        <w:t>:</w:t>
      </w:r>
      <w:r>
        <w:rPr>
          <w:rFonts w:ascii="Arial" w:hAnsi="Arial" w:cs="Arial"/>
          <w:sz w:val="21"/>
          <w:szCs w:val="21"/>
        </w:rPr>
        <w:t>现代农业新技术研究与示范（专题编号</w:t>
      </w:r>
      <w:r>
        <w:rPr>
          <w:rFonts w:ascii="Arial" w:hAnsi="Arial" w:cs="Arial"/>
          <w:sz w:val="21"/>
          <w:szCs w:val="21"/>
        </w:rPr>
        <w:t>0209</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根据广东农业产业发展及新农村建设的科技需求，开展先进适用的农业生物技术、动植物新品种选育、现代种养与繁育技术、农产品与食品加工技术、植物保护技术、动物疫病防控技术、生态农业与农业环境保护技术、农业机械化技术与装备、农业信息化技术、安全农业投入品、食品安全制造技术、新农村建设与城镇化技术、休闲农业与农业旅游设计、农业科技创新体系与成果转化战略等研究与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突破一批现代农业发展和新农村建设的新技术与新成果，并在一定区域范围内应用示范；促进我省</w:t>
      </w:r>
      <w:r>
        <w:rPr>
          <w:rFonts w:ascii="Arial" w:hAnsi="Arial" w:cs="Arial"/>
          <w:sz w:val="21"/>
          <w:szCs w:val="21"/>
        </w:rPr>
        <w:t>“</w:t>
      </w:r>
      <w:r>
        <w:rPr>
          <w:rFonts w:ascii="Arial" w:hAnsi="Arial" w:cs="Arial"/>
          <w:sz w:val="21"/>
          <w:szCs w:val="21"/>
        </w:rPr>
        <w:t>三农</w:t>
      </w:r>
      <w:r>
        <w:rPr>
          <w:rFonts w:ascii="Arial" w:hAnsi="Arial" w:cs="Arial"/>
          <w:sz w:val="21"/>
          <w:szCs w:val="21"/>
        </w:rPr>
        <w:t>”</w:t>
      </w:r>
      <w:r>
        <w:rPr>
          <w:rFonts w:ascii="Arial" w:hAnsi="Arial" w:cs="Arial"/>
          <w:sz w:val="21"/>
          <w:szCs w:val="21"/>
        </w:rPr>
        <w:t>问题得到进一步解决；获得良好社会经济效益。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无特别说明。</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:15</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专题十二</w:t>
      </w:r>
      <w:r>
        <w:rPr>
          <w:rFonts w:ascii="Arial" w:hAnsi="Arial" w:cs="Arial"/>
          <w:sz w:val="21"/>
          <w:szCs w:val="21"/>
        </w:rPr>
        <w:t>:</w:t>
      </w:r>
      <w:r>
        <w:rPr>
          <w:rFonts w:ascii="Arial" w:hAnsi="Arial" w:cs="Arial"/>
          <w:sz w:val="21"/>
          <w:szCs w:val="21"/>
        </w:rPr>
        <w:t>对口科技援助（专题编号</w:t>
      </w:r>
      <w:r>
        <w:rPr>
          <w:rFonts w:ascii="Arial" w:hAnsi="Arial" w:cs="Arial"/>
          <w:sz w:val="21"/>
          <w:szCs w:val="21"/>
        </w:rPr>
        <w:t>0210</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背景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科技</w:t>
      </w:r>
      <w:proofErr w:type="gramStart"/>
      <w:r>
        <w:rPr>
          <w:rFonts w:ascii="Arial" w:hAnsi="Arial" w:cs="Arial"/>
          <w:sz w:val="21"/>
          <w:szCs w:val="21"/>
        </w:rPr>
        <w:t>援藏援疆和</w:t>
      </w:r>
      <w:proofErr w:type="gramEnd"/>
      <w:r>
        <w:rPr>
          <w:rFonts w:ascii="Arial" w:hAnsi="Arial" w:cs="Arial"/>
          <w:sz w:val="21"/>
          <w:szCs w:val="21"/>
        </w:rPr>
        <w:t>科技扶贫是我省对口科技援助的重要科技工作之一，对西藏新疆和我省东源县等对口帮扶地区的持续繁荣和稳定发展具有十分重要的意义。针对受援地区特色产业发展、民生科技需求以及专业人才培养，采取切合当地实际的方式方法，充分发挥科技支撑的作用，从技术、人才等方面入手，加大支持力度，开展科技援助与帮扶，增强帮扶对象自我发展能力是推动帮扶地区经济社会更好更快发展的重要举措。</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科技援藏特色产业技术集成与应用示范；科技</w:t>
      </w:r>
      <w:proofErr w:type="gramStart"/>
      <w:r>
        <w:rPr>
          <w:rFonts w:ascii="Arial" w:hAnsi="Arial" w:cs="Arial"/>
          <w:sz w:val="21"/>
          <w:szCs w:val="21"/>
        </w:rPr>
        <w:t>援疆特色</w:t>
      </w:r>
      <w:proofErr w:type="gramEnd"/>
      <w:r>
        <w:rPr>
          <w:rFonts w:ascii="Arial" w:hAnsi="Arial" w:cs="Arial"/>
          <w:sz w:val="21"/>
          <w:szCs w:val="21"/>
        </w:rPr>
        <w:t>产业技术集成与应用示范、医疗卫生与疾病防治技术研究；受援地区科技援助平台建设；受援地区科技援助人才培训；东源县科技扶贫与扶贫</w:t>
      </w:r>
      <w:r>
        <w:rPr>
          <w:rFonts w:ascii="Arial" w:hAnsi="Arial" w:cs="Arial"/>
          <w:sz w:val="21"/>
          <w:szCs w:val="21"/>
        </w:rPr>
        <w:t>“</w:t>
      </w:r>
      <w:r>
        <w:rPr>
          <w:rFonts w:ascii="Arial" w:hAnsi="Arial" w:cs="Arial"/>
          <w:sz w:val="21"/>
          <w:szCs w:val="21"/>
        </w:rPr>
        <w:t>双到</w:t>
      </w:r>
      <w:r>
        <w:rPr>
          <w:rFonts w:ascii="Arial" w:hAnsi="Arial" w:cs="Arial"/>
          <w:sz w:val="21"/>
          <w:szCs w:val="21"/>
        </w:rPr>
        <w:t>”</w:t>
      </w:r>
      <w:r>
        <w:rPr>
          <w:rFonts w:ascii="Arial" w:hAnsi="Arial" w:cs="Arial"/>
          <w:sz w:val="21"/>
          <w:szCs w:val="21"/>
        </w:rPr>
        <w:t>产业技术应用示范。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集成并应用示范一批特色产业技术；获得一批适宜新疆地区应用示范的医疗卫生与疾病防治技术；建立一批受援地区科技援助平台；培训一批受援地区科技人才。</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鼓励支持省</w:t>
      </w:r>
      <w:proofErr w:type="gramStart"/>
      <w:r>
        <w:rPr>
          <w:rFonts w:ascii="Arial" w:hAnsi="Arial" w:cs="Arial"/>
          <w:sz w:val="21"/>
          <w:szCs w:val="21"/>
        </w:rPr>
        <w:t>第七批援疆援藏</w:t>
      </w:r>
      <w:proofErr w:type="gramEnd"/>
      <w:r>
        <w:rPr>
          <w:rFonts w:ascii="Arial" w:hAnsi="Arial" w:cs="Arial"/>
          <w:sz w:val="21"/>
          <w:szCs w:val="21"/>
        </w:rPr>
        <w:t>干部和科技人员开展相关研究；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项目实施地点须在受援地区；</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科技扶贫与扶贫</w:t>
      </w:r>
      <w:r>
        <w:rPr>
          <w:rFonts w:ascii="Arial" w:hAnsi="Arial" w:cs="Arial"/>
          <w:sz w:val="21"/>
          <w:szCs w:val="21"/>
        </w:rPr>
        <w:t>“</w:t>
      </w:r>
      <w:r>
        <w:rPr>
          <w:rFonts w:ascii="Arial" w:hAnsi="Arial" w:cs="Arial"/>
          <w:sz w:val="21"/>
          <w:szCs w:val="21"/>
        </w:rPr>
        <w:t>双到</w:t>
      </w:r>
      <w:r>
        <w:rPr>
          <w:rFonts w:ascii="Arial" w:hAnsi="Arial" w:cs="Arial"/>
          <w:sz w:val="21"/>
          <w:szCs w:val="21"/>
        </w:rPr>
        <w:t>”</w:t>
      </w:r>
      <w:r>
        <w:rPr>
          <w:rFonts w:ascii="Arial" w:hAnsi="Arial" w:cs="Arial"/>
          <w:sz w:val="21"/>
          <w:szCs w:val="21"/>
        </w:rPr>
        <w:t>项目</w:t>
      </w:r>
      <w:proofErr w:type="gramStart"/>
      <w:r>
        <w:rPr>
          <w:rFonts w:ascii="Arial" w:hAnsi="Arial" w:cs="Arial"/>
          <w:sz w:val="21"/>
          <w:szCs w:val="21"/>
        </w:rPr>
        <w:t>须联合</w:t>
      </w:r>
      <w:proofErr w:type="gramEnd"/>
      <w:r>
        <w:rPr>
          <w:rFonts w:ascii="Arial" w:hAnsi="Arial" w:cs="Arial"/>
          <w:sz w:val="21"/>
          <w:szCs w:val="21"/>
        </w:rPr>
        <w:t>东源县相关单位共同申报并在东源县实施。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 10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专题十三</w:t>
      </w:r>
      <w:r>
        <w:rPr>
          <w:rFonts w:ascii="Arial" w:hAnsi="Arial" w:cs="Arial"/>
          <w:sz w:val="21"/>
          <w:szCs w:val="21"/>
        </w:rPr>
        <w:t>:</w:t>
      </w:r>
      <w:r>
        <w:rPr>
          <w:rFonts w:ascii="Arial" w:hAnsi="Arial" w:cs="Arial"/>
          <w:sz w:val="21"/>
          <w:szCs w:val="21"/>
        </w:rPr>
        <w:t>粤东西北地区科技创新环境建设（专题编号</w:t>
      </w:r>
      <w:r>
        <w:rPr>
          <w:rFonts w:ascii="Arial" w:hAnsi="Arial" w:cs="Arial"/>
          <w:sz w:val="21"/>
          <w:szCs w:val="21"/>
        </w:rPr>
        <w:t>0221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背景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省委、省政府十分重视全省区域经济协调发展，先后出台了《关于进一步促进粤东西北地区振兴发展的决定》等一系列促进粤东粤西粤北地区发展文件，粤东西北地区经济社会与科技发展取得显著成效，综合经济实力明显增强，但是由于粤东西北地区科技人才不足、科技创新环境欠佳，科技创新能力普遍偏低等原因，目前经济社会发展水平与珠三角地区仍存在较大差距。按照《科技创新促进粤东西北地区振兴发展的专项实施方案》的部署，优化科技创新与服务环境，完善科技创新与转化体系、提升科技管理部门科技服务能力是进一步支撑粤东西北地区实现跨越发展的迫切需要和重要举措。</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 (</w:t>
      </w:r>
      <w:r>
        <w:rPr>
          <w:rFonts w:ascii="Arial" w:hAnsi="Arial" w:cs="Arial"/>
          <w:sz w:val="21"/>
          <w:szCs w:val="21"/>
        </w:rPr>
        <w:t>二</w:t>
      </w:r>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重大项目：根据粤东西北地区各地级市市委市政府高度关注的重点工作部署及区域发展重大科技需求，整合优势科技资源，重点开展制约区域主导产业发展的基础性、公共性、公益性重大公共科技平台、孵化器或科技基础平台建设。</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面上项目：粤东西北地区各地级市所辖县（市、区）围绕市委市政府和县（市、区）委县（市、区）政府重点工作，开展科技服务平台、信息网络平台建设、科技培训、政策宣传推广、科技成果应用示范以及其它科技服务工作等；粤东西北地区科技发展规划与区域发展战略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 (</w:t>
      </w:r>
      <w:r>
        <w:rPr>
          <w:rFonts w:ascii="Arial" w:hAnsi="Arial" w:cs="Arial"/>
          <w:sz w:val="21"/>
          <w:szCs w:val="21"/>
        </w:rPr>
        <w:t>三</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进一步优化粤东西北地区科技创新环境；重大项目的实施能极大提升区域科技创新能力，突破一批产业共性关键技术，建设或完善一批科技创新平台，促进辖内支柱产业健康可持续</w:t>
      </w:r>
      <w:r>
        <w:rPr>
          <w:rFonts w:ascii="Arial" w:hAnsi="Arial" w:cs="Arial"/>
          <w:sz w:val="21"/>
          <w:szCs w:val="21"/>
        </w:rPr>
        <w:lastRenderedPageBreak/>
        <w:t>发展并获得良好社会经济效益；面上项目的实施能建设一批科技服务平台，提升科技行政管理部门的业务水平和科技服务能力，树立科技支撑产业发展良好形象，推广应用一批先进适用技术和成果；形成高质量粤东西北地区科技发展规划与区域发展战略研究报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申报对象：重大项目由地级市科技行政管理部门牵头申报，鼓励产学研结合实施；面上项目申报单位以粤东西北地区各县（市、区）科技行政管理部门为主，其中粤东西北地区科技发展规划与战略研究申报单位为有相关研究基础的事业单位联合粤东西北地区科技行政管理部门等共同申报；</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重大项目申报须附市政府推荐函；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重大项目每个地级市申报</w:t>
      </w:r>
      <w:r>
        <w:rPr>
          <w:rFonts w:ascii="Arial" w:hAnsi="Arial" w:cs="Arial"/>
          <w:sz w:val="21"/>
          <w:szCs w:val="21"/>
        </w:rPr>
        <w:t>1</w:t>
      </w:r>
      <w:r>
        <w:rPr>
          <w:rFonts w:ascii="Arial" w:hAnsi="Arial" w:cs="Arial"/>
          <w:sz w:val="21"/>
          <w:szCs w:val="21"/>
        </w:rPr>
        <w:t>项，实施内容不得重复申报其它科技专项项目；粤东西北地区各县（市、区）申报面上项目各</w:t>
      </w:r>
      <w:r>
        <w:rPr>
          <w:rFonts w:ascii="Arial" w:hAnsi="Arial" w:cs="Arial"/>
          <w:sz w:val="21"/>
          <w:szCs w:val="21"/>
        </w:rPr>
        <w:t>1</w:t>
      </w:r>
      <w:r>
        <w:rPr>
          <w:rFonts w:ascii="Arial" w:hAnsi="Arial" w:cs="Arial"/>
          <w:sz w:val="21"/>
          <w:szCs w:val="21"/>
        </w:rPr>
        <w:t>项，由各地级市科技行政管理部门汇总所辖县（市、区）项目并统一出具推荐函。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4. </w:t>
      </w:r>
      <w:r>
        <w:rPr>
          <w:rFonts w:ascii="Arial" w:hAnsi="Arial" w:cs="Arial"/>
          <w:sz w:val="21"/>
          <w:szCs w:val="21"/>
        </w:rPr>
        <w:t>粤东西北地区各县（市、区）科技行政管理部门主持申报的面上项目为非竞争性项目，结合各县（市、区）科技进步指标情况采用因素分配法结合安排。</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 xml:space="preserve">: </w:t>
      </w:r>
      <w:r>
        <w:rPr>
          <w:rFonts w:ascii="Arial" w:hAnsi="Arial" w:cs="Arial"/>
          <w:sz w:val="21"/>
          <w:szCs w:val="21"/>
        </w:rPr>
        <w:t>重点项目竞争性支持</w:t>
      </w:r>
      <w:r>
        <w:rPr>
          <w:rFonts w:ascii="Arial" w:hAnsi="Arial" w:cs="Arial"/>
          <w:sz w:val="21"/>
          <w:szCs w:val="21"/>
        </w:rPr>
        <w:t>4</w:t>
      </w:r>
      <w:r>
        <w:rPr>
          <w:rFonts w:ascii="Arial" w:hAnsi="Arial" w:cs="Arial"/>
          <w:sz w:val="21"/>
          <w:szCs w:val="21"/>
        </w:rPr>
        <w:t>个市，</w:t>
      </w:r>
      <w:r>
        <w:rPr>
          <w:rFonts w:ascii="Arial" w:hAnsi="Arial" w:cs="Arial"/>
          <w:sz w:val="21"/>
          <w:szCs w:val="21"/>
        </w:rPr>
        <w:t>650</w:t>
      </w:r>
      <w:r>
        <w:rPr>
          <w:rFonts w:ascii="Arial" w:hAnsi="Arial" w:cs="Arial"/>
          <w:sz w:val="21"/>
          <w:szCs w:val="21"/>
        </w:rPr>
        <w:t>万元</w:t>
      </w:r>
      <w:r>
        <w:rPr>
          <w:rFonts w:ascii="Arial" w:hAnsi="Arial" w:cs="Arial"/>
          <w:sz w:val="21"/>
          <w:szCs w:val="21"/>
        </w:rPr>
        <w:t>/</w:t>
      </w:r>
      <w:r>
        <w:rPr>
          <w:rFonts w:ascii="Arial" w:hAnsi="Arial" w:cs="Arial"/>
          <w:sz w:val="21"/>
          <w:szCs w:val="21"/>
        </w:rPr>
        <w:t>项；面上项目中粤东西北地区科技发展规划与战略研究项目</w:t>
      </w:r>
      <w:r>
        <w:rPr>
          <w:rFonts w:ascii="Arial" w:hAnsi="Arial" w:cs="Arial"/>
          <w:sz w:val="21"/>
          <w:szCs w:val="21"/>
        </w:rPr>
        <w:t>50</w:t>
      </w:r>
      <w:r>
        <w:rPr>
          <w:rFonts w:ascii="Arial" w:hAnsi="Arial" w:cs="Arial"/>
          <w:sz w:val="21"/>
          <w:szCs w:val="21"/>
        </w:rPr>
        <w:t>万元、科技部</w:t>
      </w:r>
      <w:r>
        <w:rPr>
          <w:rFonts w:ascii="Arial" w:hAnsi="Arial" w:cs="Arial"/>
          <w:sz w:val="21"/>
          <w:szCs w:val="21"/>
        </w:rPr>
        <w:t>“2013</w:t>
      </w:r>
      <w:r>
        <w:rPr>
          <w:rFonts w:ascii="Arial" w:hAnsi="Arial" w:cs="Arial"/>
          <w:sz w:val="21"/>
          <w:szCs w:val="21"/>
        </w:rPr>
        <w:t>年度</w:t>
      </w:r>
      <w:r>
        <w:rPr>
          <w:rFonts w:ascii="Arial" w:hAnsi="Arial" w:cs="Arial"/>
          <w:sz w:val="21"/>
          <w:szCs w:val="21"/>
        </w:rPr>
        <w:t>”</w:t>
      </w:r>
      <w:r>
        <w:rPr>
          <w:rFonts w:ascii="Arial" w:hAnsi="Arial" w:cs="Arial"/>
          <w:sz w:val="21"/>
          <w:szCs w:val="21"/>
        </w:rPr>
        <w:t>科技进步考核优秀的县（市、区）</w:t>
      </w:r>
      <w:r>
        <w:rPr>
          <w:rFonts w:ascii="Arial" w:hAnsi="Arial" w:cs="Arial"/>
          <w:sz w:val="21"/>
          <w:szCs w:val="21"/>
        </w:rPr>
        <w:t>40</w:t>
      </w:r>
      <w:r>
        <w:rPr>
          <w:rFonts w:ascii="Arial" w:hAnsi="Arial" w:cs="Arial"/>
          <w:sz w:val="21"/>
          <w:szCs w:val="21"/>
        </w:rPr>
        <w:t>万元</w:t>
      </w:r>
      <w:r>
        <w:rPr>
          <w:rFonts w:ascii="Arial" w:hAnsi="Arial" w:cs="Arial"/>
          <w:sz w:val="21"/>
          <w:szCs w:val="21"/>
        </w:rPr>
        <w:t>/</w:t>
      </w:r>
      <w:r>
        <w:rPr>
          <w:rFonts w:ascii="Arial" w:hAnsi="Arial" w:cs="Arial"/>
          <w:sz w:val="21"/>
          <w:szCs w:val="21"/>
        </w:rPr>
        <w:t>项、考核通过的县（市、区）</w:t>
      </w:r>
      <w:r>
        <w:rPr>
          <w:rFonts w:ascii="Arial" w:hAnsi="Arial" w:cs="Arial"/>
          <w:sz w:val="21"/>
          <w:szCs w:val="21"/>
        </w:rPr>
        <w:t>20</w:t>
      </w:r>
      <w:r>
        <w:rPr>
          <w:rFonts w:ascii="Arial" w:hAnsi="Arial" w:cs="Arial"/>
          <w:sz w:val="21"/>
          <w:szCs w:val="21"/>
        </w:rPr>
        <w:t>万</w:t>
      </w:r>
      <w:r>
        <w:rPr>
          <w:rFonts w:ascii="Arial" w:hAnsi="Arial" w:cs="Arial"/>
          <w:sz w:val="21"/>
          <w:szCs w:val="21"/>
        </w:rPr>
        <w:t>/</w:t>
      </w:r>
      <w:r>
        <w:rPr>
          <w:rFonts w:ascii="Arial" w:hAnsi="Arial" w:cs="Arial"/>
          <w:sz w:val="21"/>
          <w:szCs w:val="21"/>
        </w:rPr>
        <w:t>项、其它的县（市、区）</w:t>
      </w:r>
      <w:r>
        <w:rPr>
          <w:rFonts w:ascii="Arial" w:hAnsi="Arial" w:cs="Arial"/>
          <w:sz w:val="21"/>
          <w:szCs w:val="21"/>
        </w:rPr>
        <w:t>10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四、社会发展领域（专题十四</w:t>
      </w:r>
      <w:r>
        <w:rPr>
          <w:rFonts w:ascii="Arial" w:hAnsi="Arial" w:cs="Arial"/>
          <w:sz w:val="21"/>
          <w:szCs w:val="21"/>
        </w:rPr>
        <w:t>—</w:t>
      </w:r>
      <w:r>
        <w:rPr>
          <w:rFonts w:ascii="Arial" w:hAnsi="Arial" w:cs="Arial"/>
          <w:sz w:val="21"/>
          <w:szCs w:val="21"/>
        </w:rPr>
        <w:t>专题二十二）</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按照科技部《关于加快发展民生科技的意见》</w:t>
      </w:r>
      <w:r>
        <w:rPr>
          <w:rFonts w:ascii="Arial" w:hAnsi="Arial" w:cs="Arial"/>
          <w:sz w:val="21"/>
          <w:szCs w:val="21"/>
        </w:rPr>
        <w:t>(</w:t>
      </w:r>
      <w:r>
        <w:rPr>
          <w:rFonts w:ascii="Arial" w:hAnsi="Arial" w:cs="Arial"/>
          <w:sz w:val="21"/>
          <w:szCs w:val="21"/>
        </w:rPr>
        <w:t>国科发社〔</w:t>
      </w:r>
      <w:r>
        <w:rPr>
          <w:rFonts w:ascii="Arial" w:hAnsi="Arial" w:cs="Arial"/>
          <w:sz w:val="21"/>
          <w:szCs w:val="21"/>
        </w:rPr>
        <w:t>2011</w:t>
      </w:r>
      <w:r>
        <w:rPr>
          <w:rFonts w:ascii="Arial" w:hAnsi="Arial" w:cs="Arial"/>
          <w:sz w:val="21"/>
          <w:szCs w:val="21"/>
        </w:rPr>
        <w:t>〕</w:t>
      </w:r>
      <w:r>
        <w:rPr>
          <w:rFonts w:ascii="Arial" w:hAnsi="Arial" w:cs="Arial"/>
          <w:sz w:val="21"/>
          <w:szCs w:val="21"/>
        </w:rPr>
        <w:t>279</w:t>
      </w:r>
      <w:r>
        <w:rPr>
          <w:rFonts w:ascii="Arial" w:hAnsi="Arial" w:cs="Arial"/>
          <w:sz w:val="21"/>
          <w:szCs w:val="21"/>
        </w:rPr>
        <w:t>号</w:t>
      </w:r>
      <w:r>
        <w:rPr>
          <w:rFonts w:ascii="Arial" w:hAnsi="Arial" w:cs="Arial"/>
          <w:sz w:val="21"/>
          <w:szCs w:val="21"/>
        </w:rPr>
        <w:t>)</w:t>
      </w:r>
      <w:r>
        <w:rPr>
          <w:rFonts w:ascii="Arial" w:hAnsi="Arial" w:cs="Arial"/>
          <w:sz w:val="21"/>
          <w:szCs w:val="21"/>
        </w:rPr>
        <w:t>，针对我省人口健康、资源环境、社会事业等社会领域的重大科技需求，支持一批面向社会民生的关键共性技术攻关及研究项目，力争突破一批制约社会民生发展的关键共性技术。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w:t>
      </w:r>
      <w:proofErr w:type="gramStart"/>
      <w:r>
        <w:rPr>
          <w:rFonts w:ascii="Arial" w:hAnsi="Arial" w:cs="Arial"/>
          <w:sz w:val="21"/>
          <w:szCs w:val="21"/>
        </w:rPr>
        <w:t>沈思</w:t>
      </w:r>
      <w:proofErr w:type="gramEnd"/>
      <w:r>
        <w:rPr>
          <w:rFonts w:ascii="Arial" w:hAnsi="Arial" w:cs="Arial"/>
          <w:sz w:val="21"/>
          <w:szCs w:val="21"/>
        </w:rPr>
        <w:br/>
      </w:r>
      <w:r>
        <w:rPr>
          <w:rFonts w:ascii="Arial" w:hAnsi="Arial" w:cs="Arial"/>
          <w:sz w:val="21"/>
          <w:szCs w:val="21"/>
        </w:rPr>
        <w:t xml:space="preserve">　　联系电话：</w:t>
      </w:r>
      <w:r>
        <w:rPr>
          <w:rFonts w:ascii="Arial" w:hAnsi="Arial" w:cs="Arial"/>
          <w:sz w:val="21"/>
          <w:szCs w:val="21"/>
        </w:rPr>
        <w:t>020-83163902</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专题十四：新药创制（专题编号</w:t>
      </w:r>
      <w:r>
        <w:rPr>
          <w:rFonts w:ascii="Arial" w:hAnsi="Arial" w:cs="Arial"/>
          <w:sz w:val="21"/>
          <w:szCs w:val="21"/>
        </w:rPr>
        <w:t>0211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重点项目：重点支持重大疾病创新药物研发；重大传染性疾病的新型疫苗研发；重大急需品种的仿制药研发；创新药物筛选、提取关键技术研究；大品种药物技术升级。</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面上项目：支持海洋药物、微生物药物研究开发；新型、早期、快速、灵敏、低成本诊断试剂研发；创新中药研发；广东省内重要中药材资源种类分布研究；新药、仿制药研发及其关键、共性技术研究。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获得若干个成药性好的创新性候选生物药物或新型疫苗；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完成一批创新药物、仿制药物的临床前研究；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开发一批新药、仿制药研制新技术；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申请发明专利</w:t>
      </w:r>
      <w:r>
        <w:rPr>
          <w:rFonts w:ascii="Arial" w:hAnsi="Arial" w:cs="Arial"/>
          <w:sz w:val="21"/>
          <w:szCs w:val="21"/>
        </w:rPr>
        <w:t>3</w:t>
      </w:r>
      <w:r>
        <w:rPr>
          <w:rFonts w:ascii="Arial" w:hAnsi="Arial" w:cs="Arial"/>
          <w:sz w:val="21"/>
          <w:szCs w:val="21"/>
        </w:rPr>
        <w:t>项以上。</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 100</w:t>
      </w:r>
      <w:r>
        <w:rPr>
          <w:rFonts w:ascii="Arial" w:hAnsi="Arial" w:cs="Arial"/>
          <w:sz w:val="21"/>
          <w:szCs w:val="21"/>
        </w:rPr>
        <w:t>万元</w:t>
      </w:r>
      <w:r>
        <w:rPr>
          <w:rFonts w:ascii="Arial" w:hAnsi="Arial" w:cs="Arial"/>
          <w:sz w:val="21"/>
          <w:szCs w:val="21"/>
        </w:rPr>
        <w:t>/</w:t>
      </w:r>
      <w:r>
        <w:rPr>
          <w:rFonts w:ascii="Arial" w:hAnsi="Arial" w:cs="Arial"/>
          <w:sz w:val="21"/>
          <w:szCs w:val="21"/>
        </w:rPr>
        <w:t>项、</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专题十五：干细胞及再生医学研究（专题编号</w:t>
      </w:r>
      <w:r>
        <w:rPr>
          <w:rFonts w:ascii="Arial" w:hAnsi="Arial" w:cs="Arial"/>
          <w:sz w:val="21"/>
          <w:szCs w:val="21"/>
        </w:rPr>
        <w:t>0212</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多能干细胞制备与诱导分化技术研究及细胞库建设；干细胞的获得、扩增、诱导、维持、培养新技术研究；新型重要疾病以及安全性动物模型；干细胞治疗的临床转化研究，全面评估干细胞治疗的安全性、有效性；基于干细胞的产品研发，组织工程角膜、神经、皮肤、软骨等构建、再生及其相关支架材料的研制，相关生产设备的研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在干细胞培养、分化、调控等前沿、核心、关键共性技术领域取得突破，加速干细胞研究进程；</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突破功能性细胞获得的关键技术，培养能满足临床治疗或药物研发等需求的干细胞；</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建立新型疾病动物模型及标准化评估体系；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建立符合临床应用的干细胞安全与质量控制标准，制订干细胞临床准入规范及伦理指导原则，获得可推广的临床应用方案；</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5.</w:t>
      </w:r>
      <w:r>
        <w:rPr>
          <w:rFonts w:ascii="Arial" w:hAnsi="Arial" w:cs="Arial"/>
          <w:sz w:val="21"/>
          <w:szCs w:val="21"/>
        </w:rPr>
        <w:t>申请</w:t>
      </w:r>
      <w:proofErr w:type="gramStart"/>
      <w:r>
        <w:rPr>
          <w:rFonts w:ascii="Arial" w:hAnsi="Arial" w:cs="Arial"/>
          <w:sz w:val="21"/>
          <w:szCs w:val="21"/>
        </w:rPr>
        <w:t>一</w:t>
      </w:r>
      <w:proofErr w:type="gramEnd"/>
      <w:r>
        <w:rPr>
          <w:rFonts w:ascii="Arial" w:hAnsi="Arial" w:cs="Arial"/>
          <w:sz w:val="21"/>
          <w:szCs w:val="21"/>
        </w:rPr>
        <w:t>批发明专利。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申报对象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高校、科研院所。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专题十六：新发传染病防控（专题编号</w:t>
      </w:r>
      <w:r>
        <w:rPr>
          <w:rFonts w:ascii="Arial" w:hAnsi="Arial" w:cs="Arial"/>
          <w:sz w:val="21"/>
          <w:szCs w:val="21"/>
        </w:rPr>
        <w:t>0213</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登革热防治：重点支持广东省登革热病原生态学研究、重症登革热新的临床救治方案的探索、治疗性人源化单克隆抗体等治疗登革热新方法的研究、登革热疫苗的研制；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埃博拉防控：治疗性人源化单克隆抗体研制平台的建立及抗体制备；埃博拉病毒抗原和抗体快速诊断免疫层析和</w:t>
      </w:r>
      <w:r>
        <w:rPr>
          <w:rFonts w:ascii="Arial" w:hAnsi="Arial" w:cs="Arial"/>
          <w:sz w:val="21"/>
          <w:szCs w:val="21"/>
        </w:rPr>
        <w:t>ELISA</w:t>
      </w:r>
      <w:r>
        <w:rPr>
          <w:rFonts w:ascii="Arial" w:hAnsi="Arial" w:cs="Arial"/>
          <w:sz w:val="21"/>
          <w:szCs w:val="21"/>
        </w:rPr>
        <w:t>试剂盒的研制；埃博拉病毒核酸高通量快速检测试剂的研制；埃博拉病毒疫苗的研制；埃博拉出血热临床救治和院内感染控制关键技术研究</w:t>
      </w:r>
      <w:r>
        <w:rPr>
          <w:rFonts w:ascii="Arial" w:hAnsi="Arial" w:cs="Arial"/>
          <w:sz w:val="21"/>
          <w:szCs w:val="21"/>
        </w:rPr>
        <w:t>;</w:t>
      </w:r>
      <w:r>
        <w:rPr>
          <w:rFonts w:ascii="Arial" w:hAnsi="Arial" w:cs="Arial"/>
          <w:sz w:val="21"/>
          <w:szCs w:val="21"/>
        </w:rPr>
        <w:t>口岸埃博拉疫情联防联控信息管理系统开发研究。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禽流感防治：禽流感的流行病学研究；禽流感的病原学研究；禽流感的临床治疗研究；禽流感疫苗研究；禽流感的中西医结合防治研究。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建立相关新发传染病的流行病学数据系统；</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弄清相关新发传染病的发病机制、感染规律及流行趋势等问题；</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建立重症病例预警的临床标准和生物标记物与病毒学特征，形成工作指引；</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形成成熟规范的治疗方法及防控技术体系；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成功研制出一批具有良好免疫效果的新型疫苗；</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获取一批自主知识产权成果。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:50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专题十七：创新医疗器械研发与示范（专题编号</w:t>
      </w:r>
      <w:r>
        <w:rPr>
          <w:rFonts w:ascii="Arial" w:hAnsi="Arial" w:cs="Arial"/>
          <w:sz w:val="21"/>
          <w:szCs w:val="21"/>
        </w:rPr>
        <w:t>0214</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重点项目：专科影像设备和高场磁共振成像设备的关键技术与核心部件研发，图像引导放射治疗的关键技术与设备研究；射频技术在重大疾病诊断中的应用研究、可穿戴式康复设备、康复机器人、运动康复训练的虚拟现实关键技术和整机设备研发；</w:t>
      </w:r>
      <w:proofErr w:type="gramStart"/>
      <w:r>
        <w:rPr>
          <w:rFonts w:ascii="Arial" w:hAnsi="Arial" w:cs="Arial"/>
          <w:sz w:val="21"/>
          <w:szCs w:val="21"/>
        </w:rPr>
        <w:t>新型第三方医疗</w:t>
      </w:r>
      <w:proofErr w:type="gramEnd"/>
      <w:r>
        <w:rPr>
          <w:rFonts w:ascii="Arial" w:hAnsi="Arial" w:cs="Arial"/>
          <w:sz w:val="21"/>
          <w:szCs w:val="21"/>
        </w:rPr>
        <w:t>服务平台的构建及示范应用；先进生物医学材料。</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面上项目：创新医疗器械产品的研制；家用智能医疗器械和新型可穿戴医疗器械；医学影像设备关键技术；创新医疗器械产品应用示范工程</w:t>
      </w:r>
      <w:r>
        <w:rPr>
          <w:rFonts w:ascii="Arial" w:hAnsi="Arial" w:cs="Arial"/>
          <w:sz w:val="21"/>
          <w:szCs w:val="21"/>
        </w:rPr>
        <w:t>(</w:t>
      </w:r>
      <w:r>
        <w:rPr>
          <w:rFonts w:ascii="Arial" w:hAnsi="Arial" w:cs="Arial"/>
          <w:sz w:val="21"/>
          <w:szCs w:val="21"/>
        </w:rPr>
        <w:t>十百千万工程</w:t>
      </w:r>
      <w:r>
        <w:rPr>
          <w:rFonts w:ascii="Arial" w:hAnsi="Arial" w:cs="Arial"/>
          <w:sz w:val="21"/>
          <w:szCs w:val="21"/>
        </w:rPr>
        <w:t>)</w:t>
      </w:r>
      <w:r>
        <w:rPr>
          <w:rFonts w:ascii="Arial" w:hAnsi="Arial" w:cs="Arial"/>
          <w:sz w:val="21"/>
          <w:szCs w:val="21"/>
        </w:rPr>
        <w:t>；创新医疗器械产品应用示范评价研究。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完成专科影像设备和高场磁共振成像设备的核心部件与成像算法，部分项目完成整机；</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完成可穿戴式康复设备和康复机器人等样机的研发；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初步搭建</w:t>
      </w:r>
      <w:r>
        <w:rPr>
          <w:rFonts w:ascii="Arial" w:hAnsi="Arial" w:cs="Arial"/>
          <w:sz w:val="21"/>
          <w:szCs w:val="21"/>
        </w:rPr>
        <w:t>1-2</w:t>
      </w:r>
      <w:r>
        <w:rPr>
          <w:rFonts w:ascii="Arial" w:hAnsi="Arial" w:cs="Arial"/>
          <w:sz w:val="21"/>
          <w:szCs w:val="21"/>
        </w:rPr>
        <w:t>个</w:t>
      </w:r>
      <w:proofErr w:type="gramStart"/>
      <w:r>
        <w:rPr>
          <w:rFonts w:ascii="Arial" w:hAnsi="Arial" w:cs="Arial"/>
          <w:sz w:val="21"/>
          <w:szCs w:val="21"/>
        </w:rPr>
        <w:t>新型第三方医疗</w:t>
      </w:r>
      <w:proofErr w:type="gramEnd"/>
      <w:r>
        <w:rPr>
          <w:rFonts w:ascii="Arial" w:hAnsi="Arial" w:cs="Arial"/>
          <w:sz w:val="21"/>
          <w:szCs w:val="21"/>
        </w:rPr>
        <w:t>服务平台，开展示范应用；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研发一批具有自主知识产权的、中高端诊疗产品和适用于基层医疗卫生机构的高性价比诊疗设备；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完成一批创新医疗器械产品示范应用评价报告；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申请一批项发明专利。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鼓励支持参与国产自主创新医疗器械产品示范单位；</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鼓励支持积极参与</w:t>
      </w:r>
      <w:r>
        <w:rPr>
          <w:rFonts w:ascii="Arial" w:hAnsi="Arial" w:cs="Arial"/>
          <w:sz w:val="21"/>
          <w:szCs w:val="21"/>
        </w:rPr>
        <w:t>“</w:t>
      </w:r>
      <w:r>
        <w:rPr>
          <w:rFonts w:ascii="Arial" w:hAnsi="Arial" w:cs="Arial"/>
          <w:sz w:val="21"/>
          <w:szCs w:val="21"/>
        </w:rPr>
        <w:t>十百千万工程</w:t>
      </w:r>
      <w:r>
        <w:rPr>
          <w:rFonts w:ascii="Arial" w:hAnsi="Arial" w:cs="Arial"/>
          <w:sz w:val="21"/>
          <w:szCs w:val="21"/>
        </w:rPr>
        <w:t>”</w:t>
      </w:r>
      <w:r>
        <w:rPr>
          <w:rFonts w:ascii="Arial" w:hAnsi="Arial" w:cs="Arial"/>
          <w:sz w:val="21"/>
          <w:szCs w:val="21"/>
        </w:rPr>
        <w:t>的省内医疗器械单位；</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鼓励支持三级甲等医疗机构对高端医疗器械产品进行应用示范评价研究。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专题十八：资源与环境（专题编号</w:t>
      </w:r>
      <w:r>
        <w:rPr>
          <w:rFonts w:ascii="Arial" w:hAnsi="Arial" w:cs="Arial"/>
          <w:sz w:val="21"/>
          <w:szCs w:val="21"/>
        </w:rPr>
        <w:t>0215</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重点项目：重点城市群大气</w:t>
      </w:r>
      <w:r>
        <w:rPr>
          <w:rFonts w:ascii="Arial" w:hAnsi="Arial" w:cs="Arial"/>
          <w:sz w:val="21"/>
          <w:szCs w:val="21"/>
        </w:rPr>
        <w:t>PM2.5</w:t>
      </w:r>
      <w:r>
        <w:rPr>
          <w:rFonts w:ascii="Arial" w:hAnsi="Arial" w:cs="Arial"/>
          <w:sz w:val="21"/>
          <w:szCs w:val="21"/>
        </w:rPr>
        <w:t>的监测、预警预报及防治技术研究；重大环境污染联防联控机制研究；餐厨垃圾、城市污泥、废弃电子产品资源等固体废弃物清洁利用技术；南岭土壤侵蚀控制关键技术。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面上项目：水污染防治技术；大气污染防控技术；土壤环境及农林生态系统对气候变化响应技术；工业节能新工艺、新流程、新装备研发；资源循环利用技术及设备研究；人口与资源环境协调发展评估研究。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获得重点城市群大气</w:t>
      </w:r>
      <w:r>
        <w:rPr>
          <w:rFonts w:ascii="Arial" w:hAnsi="Arial" w:cs="Arial"/>
          <w:sz w:val="21"/>
          <w:szCs w:val="21"/>
        </w:rPr>
        <w:t>PM2.5</w:t>
      </w:r>
      <w:r>
        <w:rPr>
          <w:rFonts w:ascii="Arial" w:hAnsi="Arial" w:cs="Arial"/>
          <w:sz w:val="21"/>
          <w:szCs w:val="21"/>
        </w:rPr>
        <w:t>在线源解析数据、珠三角重点污染源的方案，开发有关废气污染控制、连续自动监测系统的成套技术设备；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建立固体废弃物清洁利用评价体系并形成系列高值化产品；</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在水污染防治、大气污染防治、土壤侵蚀控制等领域突破一批关键性共性技术并应用示范，形成一批具有自主知识产权的技术成果；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形成</w:t>
      </w:r>
      <w:r>
        <w:rPr>
          <w:rFonts w:ascii="Arial" w:hAnsi="Arial" w:cs="Arial"/>
          <w:sz w:val="21"/>
          <w:szCs w:val="21"/>
        </w:rPr>
        <w:t>1</w:t>
      </w:r>
      <w:r>
        <w:rPr>
          <w:rFonts w:ascii="Arial" w:hAnsi="Arial" w:cs="Arial"/>
          <w:sz w:val="21"/>
          <w:szCs w:val="21"/>
        </w:rPr>
        <w:t>套我省区域人口与资源环境协调发展评估技术。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r>
        <w:rPr>
          <w:rFonts w:ascii="Arial" w:hAnsi="Arial" w:cs="Arial"/>
          <w:sz w:val="21"/>
          <w:szCs w:val="21"/>
        </w:rPr>
        <w:t>15</w:t>
      </w:r>
      <w:r>
        <w:rPr>
          <w:rFonts w:ascii="Arial" w:hAnsi="Arial" w:cs="Arial"/>
          <w:sz w:val="21"/>
          <w:szCs w:val="21"/>
        </w:rPr>
        <w:t>万元</w:t>
      </w:r>
      <w:r>
        <w:rPr>
          <w:rFonts w:ascii="Arial" w:hAnsi="Arial" w:cs="Arial"/>
          <w:sz w:val="21"/>
          <w:szCs w:val="21"/>
        </w:rPr>
        <w:t>/</w:t>
      </w:r>
      <w:r>
        <w:rPr>
          <w:rFonts w:ascii="Arial" w:hAnsi="Arial" w:cs="Arial"/>
          <w:sz w:val="21"/>
          <w:szCs w:val="21"/>
        </w:rPr>
        <w:t>项两个档次。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专题十九：海洋资源开发利用与生态保护（专题编号</w:t>
      </w:r>
      <w:r>
        <w:rPr>
          <w:rFonts w:ascii="Arial" w:hAnsi="Arial" w:cs="Arial"/>
          <w:sz w:val="21"/>
          <w:szCs w:val="21"/>
        </w:rPr>
        <w:t>0216</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海洋生态环境监测、污染防治及生态修复技术；海洋生物资源开发利用、海水综合利用及海洋可再生能源开发利用等领域关键共性技术；海洋工程装备制造技术；科技兴海战略及路径研究。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突破一批重大关键性和共性技术，形成一批具有自主知识产权的技术成果，申请</w:t>
      </w:r>
      <w:proofErr w:type="gramStart"/>
      <w:r>
        <w:rPr>
          <w:rFonts w:ascii="Arial" w:hAnsi="Arial" w:cs="Arial"/>
          <w:sz w:val="21"/>
          <w:szCs w:val="21"/>
        </w:rPr>
        <w:t>一</w:t>
      </w:r>
      <w:proofErr w:type="gramEnd"/>
      <w:r>
        <w:rPr>
          <w:rFonts w:ascii="Arial" w:hAnsi="Arial" w:cs="Arial"/>
          <w:sz w:val="21"/>
          <w:szCs w:val="21"/>
        </w:rPr>
        <w:t>批发明专利。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:50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专题二十：公共安全（专题编号</w:t>
      </w:r>
      <w:r>
        <w:rPr>
          <w:rFonts w:ascii="Arial" w:hAnsi="Arial" w:cs="Arial"/>
          <w:sz w:val="21"/>
          <w:szCs w:val="21"/>
        </w:rPr>
        <w:t>0217</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重点项目：广东省区域数值天气预报关键技术研究与应用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面上项目：天气预报关键技术应用研究；地震、地质、火灾、气象等灾害预警监测技术；城市内涝评估与预防；生物安全检疫与防控技术；禁毒、反恐、现场勘查等科技强警技术；安全生产关键技术；公共卫生安全风险评估与预警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研究开发适用于广东天气预报初值方案和模式物理方案，建立高分辨率南海台风数值预报系统，区域高分标率对流尺度预报模式系统，区域高分辨率海洋气象数值预报模式，高分辨率的空气质量数值预报系统；</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突破一批公共安全领域的共性关键技术，形成一批具有自主知识产权的技术成果，获得一批相关技术标准。</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鼓励区域合作。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专题二十一：广东省突发事件应急技术研究中心支撑体系建设（专题编号</w:t>
      </w:r>
      <w:r>
        <w:rPr>
          <w:rFonts w:ascii="Arial" w:hAnsi="Arial" w:cs="Arial"/>
          <w:sz w:val="21"/>
          <w:szCs w:val="21"/>
        </w:rPr>
        <w:t>0218</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背景</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自</w:t>
      </w:r>
      <w:r>
        <w:rPr>
          <w:rFonts w:ascii="Arial" w:hAnsi="Arial" w:cs="Arial"/>
          <w:sz w:val="21"/>
          <w:szCs w:val="21"/>
        </w:rPr>
        <w:t>2008</w:t>
      </w:r>
      <w:r>
        <w:rPr>
          <w:rFonts w:ascii="Arial" w:hAnsi="Arial" w:cs="Arial"/>
          <w:sz w:val="21"/>
          <w:szCs w:val="21"/>
        </w:rPr>
        <w:t>年开始，省政府应急办联合省科技厅已建立涉及自然灾害、公共卫生、社会安全、事故灾害、综合管理以及事故灾害方面的突发事件应急技术研究中心</w:t>
      </w:r>
      <w:r>
        <w:rPr>
          <w:rFonts w:ascii="Arial" w:hAnsi="Arial" w:cs="Arial"/>
          <w:sz w:val="21"/>
          <w:szCs w:val="21"/>
        </w:rPr>
        <w:t>25</w:t>
      </w:r>
      <w:r>
        <w:rPr>
          <w:rFonts w:ascii="Arial" w:hAnsi="Arial" w:cs="Arial"/>
          <w:sz w:val="21"/>
          <w:szCs w:val="21"/>
        </w:rPr>
        <w:t>家，为广东省有关部门在应对各方面突发事件提供了重要的科技支撑及决策支持。</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针对已建立的省突发事件应急技术研究中心开展应急技术升级，提高应对突发事件的能力。</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增强我省处理突发事件能力，提升我省应急技术和装备水平，完善我省应急指挥协调体系。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支持已组建的省突发事件应急技术研究中心。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五</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:15</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专题二十二：文化旅游与体育（专题编号</w:t>
      </w:r>
      <w:r>
        <w:rPr>
          <w:rFonts w:ascii="Arial" w:hAnsi="Arial" w:cs="Arial"/>
          <w:sz w:val="21"/>
          <w:szCs w:val="21"/>
        </w:rPr>
        <w:t>0219</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数字文化与旅游建设；文化遗产保护技术；旅游资源保护及开发技术；运动医学及运动营养学研究；竞技体育产品开发；国民体质监测及基础理论研究；群众体育产品及关键技术研发。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建设数字文化与旅游平台，突破</w:t>
      </w:r>
      <w:proofErr w:type="gramStart"/>
      <w:r>
        <w:rPr>
          <w:rFonts w:ascii="Arial" w:hAnsi="Arial" w:cs="Arial"/>
          <w:sz w:val="21"/>
          <w:szCs w:val="21"/>
        </w:rPr>
        <w:t>一</w:t>
      </w:r>
      <w:proofErr w:type="gramEnd"/>
      <w:r>
        <w:rPr>
          <w:rFonts w:ascii="Arial" w:hAnsi="Arial" w:cs="Arial"/>
          <w:sz w:val="21"/>
          <w:szCs w:val="21"/>
        </w:rPr>
        <w:t>批文物保护、旅游资源保护技术工艺并开发相应产品；</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提升我省运动医学及营养学体系建设水平，建立区域群众体质监测数据库，形成群众体育发展科技规范，促进我省体育用品科技成果转化。</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 xml:space="preserve">) </w:t>
      </w:r>
      <w:r>
        <w:rPr>
          <w:rFonts w:ascii="Arial" w:hAnsi="Arial" w:cs="Arial"/>
          <w:sz w:val="21"/>
          <w:szCs w:val="21"/>
        </w:rPr>
        <w:t>支持方式和强度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1.</w:t>
      </w:r>
      <w:r>
        <w:rPr>
          <w:rFonts w:ascii="Arial" w:hAnsi="Arial" w:cs="Arial"/>
          <w:sz w:val="21"/>
          <w:szCs w:val="21"/>
        </w:rPr>
        <w:t>支持方式</w:t>
      </w:r>
      <w:r>
        <w:rPr>
          <w:rFonts w:ascii="Arial" w:hAnsi="Arial" w:cs="Arial"/>
          <w:sz w:val="21"/>
          <w:szCs w:val="21"/>
        </w:rPr>
        <w:t>:</w:t>
      </w:r>
      <w:r>
        <w:rPr>
          <w:rFonts w:ascii="Arial" w:hAnsi="Arial" w:cs="Arial"/>
          <w:sz w:val="21"/>
          <w:szCs w:val="21"/>
        </w:rPr>
        <w:t>无偿资助；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支持强度</w:t>
      </w:r>
      <w:r>
        <w:rPr>
          <w:rFonts w:ascii="Arial" w:hAnsi="Arial" w:cs="Arial"/>
          <w:sz w:val="21"/>
          <w:szCs w:val="21"/>
        </w:rPr>
        <w:t>:15</w:t>
      </w:r>
      <w:r>
        <w:rPr>
          <w:rFonts w:ascii="Arial" w:hAnsi="Arial" w:cs="Arial"/>
          <w:sz w:val="21"/>
          <w:szCs w:val="21"/>
        </w:rPr>
        <w:t>万元</w:t>
      </w:r>
      <w:r>
        <w:rPr>
          <w:rFonts w:ascii="Arial" w:hAnsi="Arial" w:cs="Arial"/>
          <w:sz w:val="21"/>
          <w:szCs w:val="21"/>
        </w:rPr>
        <w:t>/</w:t>
      </w:r>
      <w:r>
        <w:rPr>
          <w:rFonts w:ascii="Arial" w:hAnsi="Arial" w:cs="Arial"/>
          <w:sz w:val="21"/>
          <w:szCs w:val="21"/>
        </w:rPr>
        <w:t xml:space="preserve">项。　　</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五、科技基础条件建设领域（专题二十三</w:t>
      </w:r>
      <w:r>
        <w:rPr>
          <w:rFonts w:ascii="Arial" w:hAnsi="Arial" w:cs="Arial"/>
          <w:sz w:val="21"/>
          <w:szCs w:val="21"/>
        </w:rPr>
        <w:t>—</w:t>
      </w:r>
      <w:r>
        <w:rPr>
          <w:rFonts w:ascii="Arial" w:hAnsi="Arial" w:cs="Arial"/>
          <w:sz w:val="21"/>
          <w:szCs w:val="21"/>
        </w:rPr>
        <w:t>专题二十五）</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2015</w:t>
      </w:r>
      <w:r>
        <w:rPr>
          <w:rFonts w:ascii="Arial" w:hAnsi="Arial" w:cs="Arial"/>
          <w:sz w:val="21"/>
          <w:szCs w:val="21"/>
        </w:rPr>
        <w:t>年科技基础条件建设将紧密围绕科学发展、提升自主创新能力、支撑我省战略性新兴产业发展的目标，将围绕关系广东经济社会发展的关键科技领域和现代产业体系建设的重大科技问题，贯彻落实《珠江三角洲地区改革发展规划纲要（</w:t>
      </w:r>
      <w:r>
        <w:rPr>
          <w:rFonts w:ascii="Arial" w:hAnsi="Arial" w:cs="Arial"/>
          <w:sz w:val="21"/>
          <w:szCs w:val="21"/>
        </w:rPr>
        <w:t>2008-2020</w:t>
      </w:r>
      <w:r>
        <w:rPr>
          <w:rFonts w:ascii="Arial" w:hAnsi="Arial" w:cs="Arial"/>
          <w:sz w:val="21"/>
          <w:szCs w:val="21"/>
        </w:rPr>
        <w:t>）》和《广东省科学和技术发展</w:t>
      </w:r>
      <w:r>
        <w:rPr>
          <w:rFonts w:ascii="Arial" w:hAnsi="Arial" w:cs="Arial"/>
          <w:sz w:val="21"/>
          <w:szCs w:val="21"/>
        </w:rPr>
        <w:t>“</w:t>
      </w:r>
      <w:r>
        <w:rPr>
          <w:rFonts w:ascii="Arial" w:hAnsi="Arial" w:cs="Arial"/>
          <w:sz w:val="21"/>
          <w:szCs w:val="21"/>
        </w:rPr>
        <w:t>十二五</w:t>
      </w:r>
      <w:r>
        <w:rPr>
          <w:rFonts w:ascii="Arial" w:hAnsi="Arial" w:cs="Arial"/>
          <w:sz w:val="21"/>
          <w:szCs w:val="21"/>
        </w:rPr>
        <w:t>”</w:t>
      </w:r>
      <w:r>
        <w:rPr>
          <w:rFonts w:ascii="Arial" w:hAnsi="Arial" w:cs="Arial"/>
          <w:sz w:val="21"/>
          <w:szCs w:val="21"/>
        </w:rPr>
        <w:t>规划》精神，进一步完善我省科技创新体系，营造我省高层次人才培育基地与重大原始创新摇篮。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实施原则：市场导向、立足当前，兼顾长远、科学布局；紧密结合我省产业发展和战略性新兴产业布局。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联系人：陈玲</w:t>
      </w:r>
      <w:r>
        <w:rPr>
          <w:rFonts w:ascii="Arial" w:hAnsi="Arial" w:cs="Arial"/>
          <w:sz w:val="21"/>
          <w:szCs w:val="21"/>
        </w:rPr>
        <w:br/>
      </w:r>
      <w:r>
        <w:rPr>
          <w:rFonts w:ascii="Arial" w:hAnsi="Arial" w:cs="Arial"/>
          <w:sz w:val="21"/>
          <w:szCs w:val="21"/>
        </w:rPr>
        <w:t xml:space="preserve">　　联系电话：</w:t>
      </w:r>
      <w:r>
        <w:rPr>
          <w:rFonts w:ascii="Arial" w:hAnsi="Arial" w:cs="Arial"/>
          <w:sz w:val="21"/>
          <w:szCs w:val="21"/>
        </w:rPr>
        <w:t>020-83163887</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专题二十三：</w:t>
      </w:r>
      <w:proofErr w:type="gramStart"/>
      <w:r>
        <w:rPr>
          <w:rFonts w:ascii="Arial" w:hAnsi="Arial" w:cs="Arial"/>
          <w:sz w:val="21"/>
          <w:szCs w:val="21"/>
        </w:rPr>
        <w:t>省企业</w:t>
      </w:r>
      <w:proofErr w:type="gramEnd"/>
      <w:r>
        <w:rPr>
          <w:rFonts w:ascii="Arial" w:hAnsi="Arial" w:cs="Arial"/>
          <w:sz w:val="21"/>
          <w:szCs w:val="21"/>
        </w:rPr>
        <w:t>重点实验室（专题编号</w:t>
      </w:r>
      <w:r>
        <w:rPr>
          <w:rFonts w:ascii="Arial" w:hAnsi="Arial" w:cs="Arial"/>
          <w:sz w:val="21"/>
          <w:szCs w:val="21"/>
        </w:rPr>
        <w:t>0301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w:t>
      </w:r>
      <w:r>
        <w:rPr>
          <w:rFonts w:ascii="Arial" w:hAnsi="Arial" w:cs="Arial"/>
          <w:sz w:val="21"/>
          <w:szCs w:val="21"/>
        </w:rPr>
        <w:t xml:space="preserve"> </w:t>
      </w:r>
      <w:r>
        <w:rPr>
          <w:rFonts w:ascii="Arial" w:hAnsi="Arial" w:cs="Arial"/>
          <w:sz w:val="21"/>
          <w:szCs w:val="21"/>
        </w:rPr>
        <w:t>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省企业</w:t>
      </w:r>
      <w:proofErr w:type="gramEnd"/>
      <w:r>
        <w:rPr>
          <w:rFonts w:ascii="Arial" w:hAnsi="Arial" w:cs="Arial"/>
          <w:sz w:val="21"/>
          <w:szCs w:val="21"/>
        </w:rPr>
        <w:t>重点实验室的主要任务是针对我省支柱产业及战略性新兴产业发展中的关键技术问题，重点开展应用技术研究和技术开发，成为广东省高水平优势产业研发基地。支持开发自主知识产权，研究提出国际、国家、行业和地方标准，促进产学研结合，增强技术创新和成果转化能力，引导新技术的应用和成果转化，发挥产业技术集成、高端科技公共服务和辐射带动作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w:t>
      </w:r>
      <w:r>
        <w:rPr>
          <w:rFonts w:ascii="Arial" w:hAnsi="Arial" w:cs="Arial"/>
          <w:sz w:val="21"/>
          <w:szCs w:val="21"/>
        </w:rPr>
        <w:t xml:space="preserve"> </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申报企业实验室基本要求。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省企业</w:t>
      </w:r>
      <w:proofErr w:type="gramEnd"/>
      <w:r>
        <w:rPr>
          <w:rFonts w:ascii="Arial" w:hAnsi="Arial" w:cs="Arial"/>
          <w:sz w:val="21"/>
          <w:szCs w:val="21"/>
        </w:rPr>
        <w:t>重点实验室应依托广东省内具有较强研究开发能力和技术辐射能力的行业骨干企业建设，重点在我省战略性新兴产业和省重大科技专项的领域布局。同时应符合以下要求：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）与我省经济社会发展紧密结合的关键性研究领域、有发展前景的应用基础研究领域，围绕省重大科技专项的领域布局。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）依托单位上年度主营业务收入超过</w:t>
      </w:r>
      <w:r>
        <w:rPr>
          <w:rFonts w:ascii="Arial" w:hAnsi="Arial" w:cs="Arial"/>
          <w:sz w:val="21"/>
          <w:szCs w:val="21"/>
        </w:rPr>
        <w:t>5</w:t>
      </w:r>
      <w:r>
        <w:rPr>
          <w:rFonts w:ascii="Arial" w:hAnsi="Arial" w:cs="Arial"/>
          <w:sz w:val="21"/>
          <w:szCs w:val="21"/>
        </w:rPr>
        <w:t>亿元，主营业务与企业重点实验室申报方向属于同一领域，近三年研发投入占年销售收入比例不低于</w:t>
      </w:r>
      <w:r>
        <w:rPr>
          <w:rFonts w:ascii="Arial" w:hAnsi="Arial" w:cs="Arial"/>
          <w:sz w:val="21"/>
          <w:szCs w:val="21"/>
        </w:rPr>
        <w:t>3%</w:t>
      </w:r>
      <w:r>
        <w:rPr>
          <w:rFonts w:ascii="Arial" w:hAnsi="Arial" w:cs="Arial"/>
          <w:sz w:val="21"/>
          <w:szCs w:val="21"/>
        </w:rPr>
        <w:t>，保证企业重点实验室开展工作的基本需要。</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3</w:t>
      </w:r>
      <w:r>
        <w:rPr>
          <w:rFonts w:ascii="Arial" w:hAnsi="Arial" w:cs="Arial"/>
          <w:sz w:val="21"/>
          <w:szCs w:val="21"/>
        </w:rPr>
        <w:t>）依托单位综合科技实力强，内部研发体系和知识产权管理体系健全，并与高校、科研机构等建立了长期稳定的产学研合作关系，在行业协会或产业联盟中积极发挥带动辐射作用，在科研合作中分工合理。</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）拥有高水平的科技创新队伍；</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）有相对集中的实验用房，面积在</w:t>
      </w:r>
      <w:r>
        <w:rPr>
          <w:rFonts w:ascii="Arial" w:hAnsi="Arial" w:cs="Arial"/>
          <w:sz w:val="21"/>
          <w:szCs w:val="21"/>
        </w:rPr>
        <w:t>3000</w:t>
      </w:r>
      <w:r>
        <w:rPr>
          <w:rFonts w:ascii="Arial" w:hAnsi="Arial" w:cs="Arial"/>
          <w:sz w:val="21"/>
          <w:szCs w:val="21"/>
        </w:rPr>
        <w:t>平方米以上；有先进的科研条件和设施，科研仪器总值</w:t>
      </w:r>
      <w:r>
        <w:rPr>
          <w:rFonts w:ascii="Arial" w:hAnsi="Arial" w:cs="Arial"/>
          <w:sz w:val="21"/>
          <w:szCs w:val="21"/>
        </w:rPr>
        <w:t>1000</w:t>
      </w:r>
      <w:r>
        <w:rPr>
          <w:rFonts w:ascii="Arial" w:hAnsi="Arial" w:cs="Arial"/>
          <w:sz w:val="21"/>
          <w:szCs w:val="21"/>
        </w:rPr>
        <w:t>万元以上。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申报单位基本条件。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依托单位须为广东省工商行政管理机关登记注册、具有独立法人资格的内资或者内资控股企业。每个企业限报</w:t>
      </w:r>
      <w:r>
        <w:rPr>
          <w:rFonts w:ascii="Arial" w:hAnsi="Arial" w:cs="Arial"/>
          <w:sz w:val="21"/>
          <w:szCs w:val="21"/>
        </w:rPr>
        <w:t>1</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w:t>
      </w:r>
      <w:r>
        <w:rPr>
          <w:rFonts w:ascii="Arial" w:hAnsi="Arial" w:cs="Arial"/>
          <w:sz w:val="21"/>
          <w:szCs w:val="21"/>
        </w:rPr>
        <w:t xml:space="preserve"> </w:t>
      </w:r>
      <w:r>
        <w:rPr>
          <w:rFonts w:ascii="Arial" w:hAnsi="Arial" w:cs="Arial"/>
          <w:sz w:val="21"/>
          <w:szCs w:val="21"/>
        </w:rPr>
        <w:t>支持方式与强度。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本专题实验室建设资金由承担单位自筹解决。</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专题二十四：科技基础条件研究项目（专题编号</w:t>
      </w:r>
      <w:r>
        <w:rPr>
          <w:rFonts w:ascii="Arial" w:hAnsi="Arial" w:cs="Arial"/>
          <w:sz w:val="21"/>
          <w:szCs w:val="21"/>
        </w:rPr>
        <w:t>0302</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（一）专题背景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本专题旨在对我省生物种质资源的利用和研究，实验动物科学研究，科技文献资源及科技期刊等科技基础条件研究项目，结合国家及广东的相关产业需求，通过体制机制创新和科技创新，加强我省科技基础条件科学研究工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、省生物种质资源的利用和研究项目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围绕种质资源的挖掘、种质创新和新品种选育、新技术研发，支持对广东省生物产业、医药行业或特色生物保护和利用所涉及的资源评价与利用，支持对广东生物产业有促进作用的国外重要战略生物资源引进、驯化及开发利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、实验动物科学研究项目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支持实验动物质量标准的研究，替代实验方法的研究，支持重大疾病动物模型制作与评价体系研究，围绕人类重大疾病、新药创制等科研需求，研发相关动物模型资源。</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、科技文献资源及科技期刊项目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支持科技文献在文献计量分析、专利数据分析、元数据整合技术等领域的应用研究，客观分析评估我省科技创新发展状况，预测科研创新趋势，支撑科学决策。支持科技期刊进入</w:t>
      </w:r>
      <w:r>
        <w:rPr>
          <w:rFonts w:ascii="Arial" w:hAnsi="Arial" w:cs="Arial"/>
          <w:sz w:val="21"/>
          <w:szCs w:val="21"/>
        </w:rPr>
        <w:lastRenderedPageBreak/>
        <w:t>国际权威数据库和《中文核心期刊要目总览》，支持科技期刊编辑学研究，提高我省科技期刊综合水平，培育我省精品科技期刊。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具有独立法人资格，省内高校、科研机构、事业单位可申报。</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（四）支持方式与强度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支持强度</w:t>
      </w:r>
      <w:r>
        <w:rPr>
          <w:rFonts w:ascii="Arial" w:hAnsi="Arial" w:cs="Arial"/>
          <w:sz w:val="21"/>
          <w:szCs w:val="21"/>
        </w:rPr>
        <w:t>:10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专题二十五：科技基础条件平台建设后补助项目（专题编号</w:t>
      </w:r>
      <w:r>
        <w:rPr>
          <w:rFonts w:ascii="Arial" w:hAnsi="Arial" w:cs="Arial"/>
          <w:sz w:val="21"/>
          <w:szCs w:val="21"/>
        </w:rPr>
        <w:t>0303</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（一）专题背景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科技基础条件平台以建立共享机制为核心，以资源系统整合为主线，是具有公益性、基础性、战略性的平台。为增强平台持续发展，对我省科技长远发展提供强有力支撑，需要对科技基础条件平台给予稳定的运行支持。</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我省已建科技基础条件平台的建设运行，重点支持生物种质资源库、实验动物种质资源平台、科技文献共享平台以及科学数据库等平台在组织管理、运行服务、资源整合、持续发展能力等建设方面给予后补助。支持我省跨领域、跨行业、统一的科技基础条件资源信息公共服务平台建设。支持和扶助公共、公益类科技出版物与电子数字出版。</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省内已完成科技基础条件平台建设且具有独立法人资格的高校、科研机构、事业单位可申报后补助项目。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科技基础条件资源信息公共服务平台在广东省科技资源共享网基础上搭建。</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3. </w:t>
      </w:r>
      <w:r>
        <w:rPr>
          <w:rFonts w:ascii="Arial" w:hAnsi="Arial" w:cs="Arial"/>
          <w:sz w:val="21"/>
          <w:szCs w:val="21"/>
        </w:rPr>
        <w:t>大型科学仪器共用共享后补助由广东省大型科学仪器设施共享服务平台按相关管理办法要求进行统筹。共用共享后补助包括中小</w:t>
      </w:r>
      <w:proofErr w:type="gramStart"/>
      <w:r>
        <w:rPr>
          <w:rFonts w:ascii="Arial" w:hAnsi="Arial" w:cs="Arial"/>
          <w:sz w:val="21"/>
          <w:szCs w:val="21"/>
        </w:rPr>
        <w:t>微企业</w:t>
      </w:r>
      <w:proofErr w:type="gramEnd"/>
      <w:r>
        <w:rPr>
          <w:rFonts w:ascii="Arial" w:hAnsi="Arial" w:cs="Arial"/>
          <w:sz w:val="21"/>
          <w:szCs w:val="21"/>
        </w:rPr>
        <w:t>测试费后补助、仪器管理单位绩效后补助和平台运行管理后补助。</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说明：（</w:t>
      </w:r>
      <w:r>
        <w:rPr>
          <w:rFonts w:ascii="Arial" w:hAnsi="Arial" w:cs="Arial"/>
          <w:sz w:val="21"/>
          <w:szCs w:val="21"/>
        </w:rPr>
        <w:t>1</w:t>
      </w:r>
      <w:r>
        <w:rPr>
          <w:rFonts w:ascii="Arial" w:hAnsi="Arial" w:cs="Arial"/>
          <w:sz w:val="21"/>
          <w:szCs w:val="21"/>
        </w:rPr>
        <w:t>）企业利用广东省大型科学仪器设施共享服务平台在网仪器设施开展研发活动可申请测试费后补助。测试费用总额在</w:t>
      </w:r>
      <w:r>
        <w:rPr>
          <w:rFonts w:ascii="Arial" w:hAnsi="Arial" w:cs="Arial"/>
          <w:sz w:val="21"/>
          <w:szCs w:val="21"/>
        </w:rPr>
        <w:t>10</w:t>
      </w:r>
      <w:r>
        <w:rPr>
          <w:rFonts w:ascii="Arial" w:hAnsi="Arial" w:cs="Arial"/>
          <w:sz w:val="21"/>
          <w:szCs w:val="21"/>
        </w:rPr>
        <w:t>万元以下（含</w:t>
      </w:r>
      <w:r>
        <w:rPr>
          <w:rFonts w:ascii="Arial" w:hAnsi="Arial" w:cs="Arial"/>
          <w:sz w:val="21"/>
          <w:szCs w:val="21"/>
        </w:rPr>
        <w:t>10</w:t>
      </w:r>
      <w:r>
        <w:rPr>
          <w:rFonts w:ascii="Arial" w:hAnsi="Arial" w:cs="Arial"/>
          <w:sz w:val="21"/>
          <w:szCs w:val="21"/>
        </w:rPr>
        <w:t>万元）的，给予测试费用总额</w:t>
      </w:r>
      <w:r>
        <w:rPr>
          <w:rFonts w:ascii="Arial" w:hAnsi="Arial" w:cs="Arial"/>
          <w:sz w:val="21"/>
          <w:szCs w:val="21"/>
        </w:rPr>
        <w:t>30%</w:t>
      </w:r>
      <w:r>
        <w:rPr>
          <w:rFonts w:ascii="Arial" w:hAnsi="Arial" w:cs="Arial"/>
          <w:sz w:val="21"/>
          <w:szCs w:val="21"/>
        </w:rPr>
        <w:t>的后补助资金；总额在</w:t>
      </w:r>
      <w:r>
        <w:rPr>
          <w:rFonts w:ascii="Arial" w:hAnsi="Arial" w:cs="Arial"/>
          <w:sz w:val="21"/>
          <w:szCs w:val="21"/>
        </w:rPr>
        <w:t>10</w:t>
      </w:r>
      <w:r>
        <w:rPr>
          <w:rFonts w:ascii="Arial" w:hAnsi="Arial" w:cs="Arial"/>
          <w:sz w:val="21"/>
          <w:szCs w:val="21"/>
        </w:rPr>
        <w:t>万元以上的，对超出</w:t>
      </w:r>
      <w:r>
        <w:rPr>
          <w:rFonts w:ascii="Arial" w:hAnsi="Arial" w:cs="Arial"/>
          <w:sz w:val="21"/>
          <w:szCs w:val="21"/>
        </w:rPr>
        <w:t>10</w:t>
      </w:r>
      <w:r>
        <w:rPr>
          <w:rFonts w:ascii="Arial" w:hAnsi="Arial" w:cs="Arial"/>
          <w:sz w:val="21"/>
          <w:szCs w:val="21"/>
        </w:rPr>
        <w:t>万元部分给予不高于</w:t>
      </w:r>
      <w:r>
        <w:rPr>
          <w:rFonts w:ascii="Arial" w:hAnsi="Arial" w:cs="Arial"/>
          <w:sz w:val="21"/>
          <w:szCs w:val="21"/>
        </w:rPr>
        <w:t>15%</w:t>
      </w:r>
      <w:r>
        <w:rPr>
          <w:rFonts w:ascii="Arial" w:hAnsi="Arial" w:cs="Arial"/>
          <w:sz w:val="21"/>
          <w:szCs w:val="21"/>
        </w:rPr>
        <w:t>的后补助资金，同一企业在同</w:t>
      </w:r>
      <w:proofErr w:type="gramStart"/>
      <w:r>
        <w:rPr>
          <w:rFonts w:ascii="Arial" w:hAnsi="Arial" w:cs="Arial"/>
          <w:sz w:val="21"/>
          <w:szCs w:val="21"/>
        </w:rPr>
        <w:t>一</w:t>
      </w:r>
      <w:proofErr w:type="gramEnd"/>
      <w:r>
        <w:rPr>
          <w:rFonts w:ascii="Arial" w:hAnsi="Arial" w:cs="Arial"/>
          <w:sz w:val="21"/>
          <w:szCs w:val="21"/>
        </w:rPr>
        <w:t>年度获得的测试费后补助资金总额最高为</w:t>
      </w:r>
      <w:r>
        <w:rPr>
          <w:rFonts w:ascii="Arial" w:hAnsi="Arial" w:cs="Arial"/>
          <w:sz w:val="21"/>
          <w:szCs w:val="21"/>
        </w:rPr>
        <w:t>10</w:t>
      </w:r>
      <w:r>
        <w:rPr>
          <w:rFonts w:ascii="Arial" w:hAnsi="Arial" w:cs="Arial"/>
          <w:sz w:val="21"/>
          <w:szCs w:val="21"/>
        </w:rPr>
        <w:t>万元。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）仪器管理单位加入广东省大型科学仪器设施共享服务平台并为其他单位提供仪器共享服务，参加省平台组织的年度服务绩效考核，考核结果为合格及以上的单位可获得绩效</w:t>
      </w:r>
      <w:r>
        <w:rPr>
          <w:rFonts w:ascii="Arial" w:hAnsi="Arial" w:cs="Arial"/>
          <w:sz w:val="21"/>
          <w:szCs w:val="21"/>
        </w:rPr>
        <w:lastRenderedPageBreak/>
        <w:t>后补助，台均仪器的补助金额最高为</w:t>
      </w:r>
      <w:r>
        <w:rPr>
          <w:rFonts w:ascii="Arial" w:hAnsi="Arial" w:cs="Arial"/>
          <w:sz w:val="21"/>
          <w:szCs w:val="21"/>
        </w:rPr>
        <w:t>5</w:t>
      </w:r>
      <w:r>
        <w:rPr>
          <w:rFonts w:ascii="Arial" w:hAnsi="Arial" w:cs="Arial"/>
          <w:sz w:val="21"/>
          <w:szCs w:val="21"/>
        </w:rPr>
        <w:t>万元，用于单位仪器维护、人才培养及人员工作奖励。</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（四）支持方式与强度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支持我省大型科学仪器共用共享，按照实际共用共享费用给予后补助。支持和扶助公共、公益类科技出版物与电子数字出版由科技书籍、科技期刊策划服务机构统筹。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本年度生物种质资源库、实验动物种质资源平台、科学数据库资助额度为</w:t>
      </w:r>
      <w:r>
        <w:rPr>
          <w:rFonts w:ascii="Arial" w:hAnsi="Arial" w:cs="Arial"/>
          <w:sz w:val="21"/>
          <w:szCs w:val="21"/>
        </w:rPr>
        <w:t>20</w:t>
      </w:r>
      <w:r>
        <w:rPr>
          <w:rFonts w:ascii="Arial" w:hAnsi="Arial" w:cs="Arial"/>
          <w:sz w:val="21"/>
          <w:szCs w:val="21"/>
        </w:rPr>
        <w:t>万元</w:t>
      </w:r>
      <w:r>
        <w:rPr>
          <w:rFonts w:ascii="Arial" w:hAnsi="Arial" w:cs="Arial"/>
          <w:sz w:val="21"/>
          <w:szCs w:val="21"/>
        </w:rPr>
        <w:t>/</w:t>
      </w:r>
      <w:r>
        <w:rPr>
          <w:rFonts w:ascii="Arial" w:hAnsi="Arial" w:cs="Arial"/>
          <w:sz w:val="21"/>
          <w:szCs w:val="21"/>
        </w:rPr>
        <w:t>项。科技文献共享平台资助额度为</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项。支持和扶助公共、公益类科技出版物出版与电子数字出版总资助额度</w:t>
      </w:r>
      <w:r>
        <w:rPr>
          <w:rFonts w:ascii="Arial" w:hAnsi="Arial" w:cs="Arial"/>
          <w:sz w:val="21"/>
          <w:szCs w:val="21"/>
        </w:rPr>
        <w:t>200</w:t>
      </w:r>
      <w:r>
        <w:rPr>
          <w:rFonts w:ascii="Arial" w:hAnsi="Arial" w:cs="Arial"/>
          <w:sz w:val="21"/>
          <w:szCs w:val="21"/>
        </w:rPr>
        <w:t>万元。资助科技基础条件资源信息公共服务平台</w:t>
      </w:r>
      <w:r>
        <w:rPr>
          <w:rFonts w:ascii="Arial" w:hAnsi="Arial" w:cs="Arial"/>
          <w:sz w:val="21"/>
          <w:szCs w:val="21"/>
        </w:rPr>
        <w:t>1</w:t>
      </w:r>
      <w:r>
        <w:rPr>
          <w:rFonts w:ascii="Arial" w:hAnsi="Arial" w:cs="Arial"/>
          <w:sz w:val="21"/>
          <w:szCs w:val="21"/>
        </w:rPr>
        <w:t>项，资助额度为</w:t>
      </w:r>
      <w:r>
        <w:rPr>
          <w:rFonts w:ascii="Arial" w:hAnsi="Arial" w:cs="Arial"/>
          <w:sz w:val="21"/>
          <w:szCs w:val="21"/>
        </w:rPr>
        <w:t>200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六、技术交易体系与科技服务网络建设领域（专题二十六</w:t>
      </w:r>
      <w:r>
        <w:rPr>
          <w:rFonts w:ascii="Arial" w:hAnsi="Arial" w:cs="Arial"/>
          <w:sz w:val="21"/>
          <w:szCs w:val="21"/>
        </w:rPr>
        <w:t>—</w:t>
      </w:r>
      <w:r>
        <w:rPr>
          <w:rFonts w:ascii="Arial" w:hAnsi="Arial" w:cs="Arial"/>
          <w:sz w:val="21"/>
          <w:szCs w:val="21"/>
        </w:rPr>
        <w:t>专题二十七）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贯彻落实党的十八大精神、《国务院关于加快科技服务业发展的若干意见》（国发〔</w:t>
      </w:r>
      <w:r>
        <w:rPr>
          <w:rFonts w:ascii="Arial" w:hAnsi="Arial" w:cs="Arial"/>
          <w:sz w:val="21"/>
          <w:szCs w:val="21"/>
        </w:rPr>
        <w:t>2014</w:t>
      </w:r>
      <w:r>
        <w:rPr>
          <w:rFonts w:ascii="Arial" w:hAnsi="Arial" w:cs="Arial"/>
          <w:sz w:val="21"/>
          <w:szCs w:val="21"/>
        </w:rPr>
        <w:t>〕</w:t>
      </w:r>
      <w:r>
        <w:rPr>
          <w:rFonts w:ascii="Arial" w:hAnsi="Arial" w:cs="Arial"/>
          <w:sz w:val="21"/>
          <w:szCs w:val="21"/>
        </w:rPr>
        <w:t>49</w:t>
      </w:r>
      <w:r>
        <w:rPr>
          <w:rFonts w:ascii="Arial" w:hAnsi="Arial" w:cs="Arial"/>
          <w:sz w:val="21"/>
          <w:szCs w:val="21"/>
        </w:rPr>
        <w:t>号）、《中共广东省委</w:t>
      </w:r>
      <w:r>
        <w:rPr>
          <w:rFonts w:ascii="Arial" w:hAnsi="Arial" w:cs="Arial"/>
          <w:sz w:val="21"/>
          <w:szCs w:val="21"/>
        </w:rPr>
        <w:t xml:space="preserve"> </w:t>
      </w:r>
      <w:r>
        <w:rPr>
          <w:rFonts w:ascii="Arial" w:hAnsi="Arial" w:cs="Arial"/>
          <w:sz w:val="21"/>
          <w:szCs w:val="21"/>
        </w:rPr>
        <w:t>广东省人民政府关于全面深化科技体制改革加快创新驱动发展的决定》（粤发〔</w:t>
      </w:r>
      <w:r>
        <w:rPr>
          <w:rFonts w:ascii="Arial" w:hAnsi="Arial" w:cs="Arial"/>
          <w:sz w:val="21"/>
          <w:szCs w:val="21"/>
        </w:rPr>
        <w:t>2014</w:t>
      </w:r>
      <w:r>
        <w:rPr>
          <w:rFonts w:ascii="Arial" w:hAnsi="Arial" w:cs="Arial"/>
          <w:sz w:val="21"/>
          <w:szCs w:val="21"/>
        </w:rPr>
        <w:t>〕</w:t>
      </w:r>
      <w:r>
        <w:rPr>
          <w:rFonts w:ascii="Arial" w:hAnsi="Arial" w:cs="Arial"/>
          <w:sz w:val="21"/>
          <w:szCs w:val="21"/>
        </w:rPr>
        <w:t>12</w:t>
      </w:r>
      <w:r>
        <w:rPr>
          <w:rFonts w:ascii="Arial" w:hAnsi="Arial" w:cs="Arial"/>
          <w:sz w:val="21"/>
          <w:szCs w:val="21"/>
        </w:rPr>
        <w:t>号）和《广东省人民政府办公厅关于促进科技服务业发展的若干意见》（粤府办〔</w:t>
      </w:r>
      <w:r>
        <w:rPr>
          <w:rFonts w:ascii="Arial" w:hAnsi="Arial" w:cs="Arial"/>
          <w:sz w:val="21"/>
          <w:szCs w:val="21"/>
        </w:rPr>
        <w:t>2012</w:t>
      </w:r>
      <w:r>
        <w:rPr>
          <w:rFonts w:ascii="Arial" w:hAnsi="Arial" w:cs="Arial"/>
          <w:sz w:val="21"/>
          <w:szCs w:val="21"/>
        </w:rPr>
        <w:t>〕</w:t>
      </w:r>
      <w:r>
        <w:rPr>
          <w:rFonts w:ascii="Arial" w:hAnsi="Arial" w:cs="Arial"/>
          <w:sz w:val="21"/>
          <w:szCs w:val="21"/>
        </w:rPr>
        <w:t>120</w:t>
      </w:r>
      <w:r>
        <w:rPr>
          <w:rFonts w:ascii="Arial" w:hAnsi="Arial" w:cs="Arial"/>
          <w:sz w:val="21"/>
          <w:szCs w:val="21"/>
        </w:rPr>
        <w:t>号），加快创新驱动发展，先行先试，积极有为推进改革重要举措。</w:t>
      </w:r>
      <w:r>
        <w:rPr>
          <w:rFonts w:ascii="Arial" w:hAnsi="Arial" w:cs="Arial"/>
          <w:sz w:val="21"/>
          <w:szCs w:val="21"/>
        </w:rPr>
        <w:t>2015</w:t>
      </w:r>
      <w:r>
        <w:rPr>
          <w:rFonts w:ascii="Arial" w:hAnsi="Arial" w:cs="Arial"/>
          <w:sz w:val="21"/>
          <w:szCs w:val="21"/>
        </w:rPr>
        <w:t>年技术交易体系与科技服务网络建设科技专题计划紧密适应经济新常态，充分发挥市场在资源配置中的决定性作用，以改革精神和战略眼光谋划发展壮大科技服务业，发展技术市场，推动科技创新成果转化应用。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联系人：严军华</w:t>
      </w:r>
      <w:r>
        <w:rPr>
          <w:rFonts w:ascii="Arial" w:hAnsi="Arial" w:cs="Arial"/>
          <w:sz w:val="21"/>
          <w:szCs w:val="21"/>
        </w:rPr>
        <w:br/>
      </w:r>
      <w:r>
        <w:rPr>
          <w:rFonts w:ascii="Arial" w:hAnsi="Arial" w:cs="Arial"/>
          <w:sz w:val="21"/>
          <w:szCs w:val="21"/>
        </w:rPr>
        <w:t xml:space="preserve">　　电</w:t>
      </w:r>
      <w:r>
        <w:rPr>
          <w:rFonts w:ascii="Arial" w:hAnsi="Arial" w:cs="Arial"/>
          <w:sz w:val="21"/>
          <w:szCs w:val="21"/>
        </w:rPr>
        <w:t xml:space="preserve"> </w:t>
      </w:r>
      <w:r>
        <w:rPr>
          <w:rFonts w:ascii="Arial" w:hAnsi="Arial" w:cs="Arial"/>
          <w:sz w:val="21"/>
          <w:szCs w:val="21"/>
        </w:rPr>
        <w:t>话：</w:t>
      </w:r>
      <w:r>
        <w:rPr>
          <w:rFonts w:ascii="Arial" w:hAnsi="Arial" w:cs="Arial"/>
          <w:sz w:val="21"/>
          <w:szCs w:val="21"/>
        </w:rPr>
        <w:t>020-83163925</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专题二十六：科技服务业关键共性技术与产品研发（专题编号</w:t>
      </w:r>
      <w:r>
        <w:rPr>
          <w:rFonts w:ascii="Arial" w:hAnsi="Arial" w:cs="Arial"/>
          <w:sz w:val="21"/>
          <w:szCs w:val="21"/>
        </w:rPr>
        <w:t>0401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w:t>
      </w:r>
      <w:r>
        <w:rPr>
          <w:rFonts w:ascii="Arial" w:hAnsi="Arial" w:cs="Arial"/>
          <w:sz w:val="21"/>
          <w:szCs w:val="21"/>
        </w:rPr>
        <w:t xml:space="preserve"> </w:t>
      </w:r>
      <w:r>
        <w:rPr>
          <w:rFonts w:ascii="Arial" w:hAnsi="Arial" w:cs="Arial"/>
          <w:sz w:val="21"/>
          <w:szCs w:val="21"/>
        </w:rPr>
        <w:t>研发内容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1.</w:t>
      </w:r>
      <w:r>
        <w:rPr>
          <w:rFonts w:ascii="Arial" w:hAnsi="Arial" w:cs="Arial"/>
          <w:sz w:val="21"/>
          <w:szCs w:val="21"/>
        </w:rPr>
        <w:t>研发设计关键技术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支持研发设计与文化创意关键技术研发，包括</w:t>
      </w:r>
      <w:r>
        <w:rPr>
          <w:rFonts w:ascii="Arial" w:hAnsi="Arial" w:cs="Arial"/>
          <w:sz w:val="21"/>
          <w:szCs w:val="21"/>
        </w:rPr>
        <w:t>3D</w:t>
      </w:r>
      <w:r>
        <w:rPr>
          <w:rFonts w:ascii="Arial" w:hAnsi="Arial" w:cs="Arial"/>
          <w:sz w:val="21"/>
          <w:szCs w:val="21"/>
        </w:rPr>
        <w:t>设计软件、多媒体设计技术、虚拟展示技术、模拟仿真技术等关键技术研发与应用。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2.</w:t>
      </w:r>
      <w:r>
        <w:rPr>
          <w:rFonts w:ascii="Arial" w:hAnsi="Arial" w:cs="Arial"/>
          <w:sz w:val="21"/>
          <w:szCs w:val="21"/>
        </w:rPr>
        <w:t>检验检测服务技术</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开展食品药品安全、节能减排、绿色环保等公共检验检测领域的关键技术、仪器设备、新型检验方法、指标评价体系的研发，提高检测精度和效率；支持智能检测技术、检测产品的开发；支持专业检测机构开展技术空白领域的检验检测技术产品研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3.</w:t>
      </w:r>
      <w:r>
        <w:rPr>
          <w:rFonts w:ascii="Arial" w:hAnsi="Arial" w:cs="Arial"/>
          <w:sz w:val="21"/>
          <w:szCs w:val="21"/>
        </w:rPr>
        <w:t>公共服务技术及产品</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支持教育、科研、文化、旅游、医疗、卫生等公共服务领域的技术及产品研发，主要包括信息技术集成、多媒体技术应用、数字医疗技术、网络信息安全、网络教育服务产品开发、健康服务业及其支撑产业的技术与产品研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4.</w:t>
      </w:r>
      <w:r>
        <w:rPr>
          <w:rFonts w:ascii="Arial" w:hAnsi="Arial" w:cs="Arial"/>
          <w:sz w:val="21"/>
          <w:szCs w:val="21"/>
        </w:rPr>
        <w:t>现代科技会展技术服务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支持科技会展业领域的视觉传达与展示设计技术、融合声、光、电等立体现代技术、虚拟会展技术、会展场馆设计技术、展会空间布局设计与制作技术等相关支撑技术研发及服务。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5.</w:t>
      </w:r>
      <w:r>
        <w:rPr>
          <w:rFonts w:ascii="Arial" w:hAnsi="Arial" w:cs="Arial"/>
          <w:sz w:val="21"/>
          <w:szCs w:val="21"/>
        </w:rPr>
        <w:t>科技咨询服务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应用大数据、云计算、移动互联网等现代信息技术开展网络化、集成化的科技咨询和知识服务；支持科技情报、信息资源开发与利用的新方法、新技术的开发与应用；支持面向企业的管理咨询工具的开发与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6.</w:t>
      </w:r>
      <w:r>
        <w:rPr>
          <w:rFonts w:ascii="Arial" w:hAnsi="Arial" w:cs="Arial"/>
          <w:sz w:val="21"/>
          <w:szCs w:val="21"/>
        </w:rPr>
        <w:t>科技服务业发展政策支撑体系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新经济常态下科技服务业发展及创新发展问题；科技服务业数据统计分析；技术交易、专利转让、经营性领域技术入股、科技成果评价及转化应用；技术产权价值评估体系、技术产权交易标准规范和交易商业模式等关键支撑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w:t>
      </w:r>
      <w:proofErr w:type="gramStart"/>
      <w:r>
        <w:rPr>
          <w:rFonts w:ascii="Arial" w:hAnsi="Arial" w:cs="Arial"/>
          <w:sz w:val="21"/>
          <w:szCs w:val="21"/>
        </w:rPr>
        <w:t>纸件及</w:t>
      </w:r>
      <w:proofErr w:type="gramEnd"/>
      <w:r>
        <w:rPr>
          <w:rFonts w:ascii="Arial" w:hAnsi="Arial" w:cs="Arial"/>
          <w:sz w:val="21"/>
          <w:szCs w:val="21"/>
        </w:rPr>
        <w:t>附件要求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无特殊要求。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（四）支持方式、强度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1-5</w:t>
      </w:r>
      <w:r>
        <w:rPr>
          <w:rFonts w:ascii="Arial" w:hAnsi="Arial" w:cs="Arial"/>
          <w:sz w:val="21"/>
          <w:szCs w:val="21"/>
        </w:rPr>
        <w:t>支持强度：</w:t>
      </w:r>
      <w:r>
        <w:rPr>
          <w:rFonts w:ascii="Arial" w:hAnsi="Arial" w:cs="Arial"/>
          <w:sz w:val="21"/>
          <w:szCs w:val="21"/>
        </w:rPr>
        <w:t>80</w:t>
      </w:r>
      <w:r>
        <w:rPr>
          <w:rFonts w:ascii="Arial" w:hAnsi="Arial" w:cs="Arial"/>
          <w:sz w:val="21"/>
          <w:szCs w:val="21"/>
        </w:rPr>
        <w:t>万元</w:t>
      </w:r>
      <w:r>
        <w:rPr>
          <w:rFonts w:ascii="Arial" w:hAnsi="Arial" w:cs="Arial"/>
          <w:sz w:val="21"/>
          <w:szCs w:val="21"/>
        </w:rPr>
        <w:t>/</w:t>
      </w:r>
      <w:r>
        <w:rPr>
          <w:rFonts w:ascii="Arial" w:hAnsi="Arial" w:cs="Arial"/>
          <w:sz w:val="21"/>
          <w:szCs w:val="21"/>
        </w:rPr>
        <w:t>项、</w:t>
      </w:r>
      <w:r>
        <w:rPr>
          <w:rFonts w:ascii="Arial" w:hAnsi="Arial" w:cs="Arial"/>
          <w:sz w:val="21"/>
          <w:szCs w:val="21"/>
        </w:rPr>
        <w:t>50</w:t>
      </w:r>
      <w:r>
        <w:rPr>
          <w:rFonts w:ascii="Arial" w:hAnsi="Arial" w:cs="Arial"/>
          <w:sz w:val="21"/>
          <w:szCs w:val="21"/>
        </w:rPr>
        <w:t>万元</w:t>
      </w:r>
      <w:r>
        <w:rPr>
          <w:rFonts w:ascii="Arial" w:hAnsi="Arial" w:cs="Arial"/>
          <w:sz w:val="21"/>
          <w:szCs w:val="21"/>
        </w:rPr>
        <w:t>/</w:t>
      </w:r>
      <w:r>
        <w:rPr>
          <w:rFonts w:ascii="Arial" w:hAnsi="Arial" w:cs="Arial"/>
          <w:sz w:val="21"/>
          <w:szCs w:val="21"/>
        </w:rPr>
        <w:t>项、</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项三个档次；课题</w:t>
      </w:r>
      <w:r>
        <w:rPr>
          <w:rFonts w:ascii="Arial" w:hAnsi="Arial" w:cs="Arial"/>
          <w:sz w:val="21"/>
          <w:szCs w:val="21"/>
        </w:rPr>
        <w:t>6</w:t>
      </w:r>
      <w:r>
        <w:rPr>
          <w:rFonts w:ascii="Arial" w:hAnsi="Arial" w:cs="Arial"/>
          <w:sz w:val="21"/>
          <w:szCs w:val="21"/>
        </w:rPr>
        <w:t>支持强度：</w:t>
      </w:r>
      <w:r>
        <w:rPr>
          <w:rFonts w:ascii="Arial" w:hAnsi="Arial" w:cs="Arial"/>
          <w:sz w:val="21"/>
          <w:szCs w:val="21"/>
        </w:rPr>
        <w:t>30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（五）专题目标及技术经济指标要求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解决我省产业转型升级发展存在的问题，提升行业竞争力或降低现有技术成本，实现科技服务业领域</w:t>
      </w:r>
      <w:r>
        <w:rPr>
          <w:rFonts w:ascii="Arial" w:hAnsi="Arial" w:cs="Arial"/>
          <w:sz w:val="21"/>
          <w:szCs w:val="21"/>
        </w:rPr>
        <w:t>50</w:t>
      </w:r>
      <w:r>
        <w:rPr>
          <w:rFonts w:ascii="Arial" w:hAnsi="Arial" w:cs="Arial"/>
          <w:sz w:val="21"/>
          <w:szCs w:val="21"/>
        </w:rPr>
        <w:t>项关键共性技术突破，形成新专利、新成果、新产品、新标准</w:t>
      </w:r>
      <w:r>
        <w:rPr>
          <w:rFonts w:ascii="Arial" w:hAnsi="Arial" w:cs="Arial"/>
          <w:sz w:val="21"/>
          <w:szCs w:val="21"/>
        </w:rPr>
        <w:t>100</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专题二十七：创新方法推广应用（专题编号</w:t>
      </w:r>
      <w:r>
        <w:rPr>
          <w:rFonts w:ascii="Arial" w:hAnsi="Arial" w:cs="Arial"/>
          <w:sz w:val="21"/>
          <w:szCs w:val="21"/>
        </w:rPr>
        <w:t>0402</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1.</w:t>
      </w:r>
      <w:r>
        <w:rPr>
          <w:rFonts w:ascii="Arial" w:hAnsi="Arial" w:cs="Arial"/>
          <w:sz w:val="21"/>
          <w:szCs w:val="21"/>
        </w:rPr>
        <w:t>创新方法推广应用平台与示范企业培育</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建立地市级创新方法推广应用基地，做好地市级创新方法推广应用工作规划、支撑体系建设，为本地区企业开展创新方法培训与咨询等工作；支持省级创新方法推广应用平台建设，开展创新方法核心团队建设、创新人才培育、示范企业培育等公共服务，为企业提供创新方法培训、咨询与创新工程师认证等工作；开展创新方法示范企业培育工程，鼓励我省创新方法推广应用基地、平台与企业开展合作，帮助企业建立以创新工程师为核心的创新团队，提升研发能力，形成高质量的发明专利等成果。</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课题</w:t>
      </w:r>
      <w:r>
        <w:rPr>
          <w:rFonts w:ascii="Arial" w:hAnsi="Arial" w:cs="Arial"/>
          <w:sz w:val="21"/>
          <w:szCs w:val="21"/>
        </w:rPr>
        <w:t>2.</w:t>
      </w:r>
      <w:r>
        <w:rPr>
          <w:rFonts w:ascii="Arial" w:hAnsi="Arial" w:cs="Arial"/>
          <w:sz w:val="21"/>
          <w:szCs w:val="21"/>
        </w:rPr>
        <w:t>创新方法应用研究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开展创新方法在各产业领域的应用研究，创新方法与知识产权融合应用的研究，创新方法有效支撑企业创新机制的研究等。</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（二）专题目标及技术经济指标要求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1</w:t>
      </w:r>
      <w:r>
        <w:rPr>
          <w:rFonts w:ascii="Arial" w:hAnsi="Arial" w:cs="Arial"/>
          <w:sz w:val="21"/>
          <w:szCs w:val="21"/>
        </w:rPr>
        <w:t>目标和要求：完善推广平台、基地工作体系，形成具体工作实施方案；出台平台、基地创新方法推广应用工作规划及相关配套管理政策；地市级基地开展</w:t>
      </w:r>
      <w:r>
        <w:rPr>
          <w:rFonts w:ascii="Arial" w:hAnsi="Arial" w:cs="Arial"/>
          <w:sz w:val="21"/>
          <w:szCs w:val="21"/>
        </w:rPr>
        <w:t>3</w:t>
      </w:r>
      <w:r>
        <w:rPr>
          <w:rFonts w:ascii="Arial" w:hAnsi="Arial" w:cs="Arial"/>
          <w:sz w:val="21"/>
          <w:szCs w:val="21"/>
        </w:rPr>
        <w:t>天以上的培训</w:t>
      </w:r>
      <w:r>
        <w:rPr>
          <w:rFonts w:ascii="Arial" w:hAnsi="Arial" w:cs="Arial"/>
          <w:sz w:val="21"/>
          <w:szCs w:val="21"/>
        </w:rPr>
        <w:t>3</w:t>
      </w:r>
      <w:r>
        <w:rPr>
          <w:rFonts w:ascii="Arial" w:hAnsi="Arial" w:cs="Arial"/>
          <w:sz w:val="21"/>
          <w:szCs w:val="21"/>
        </w:rPr>
        <w:t>期以上，</w:t>
      </w:r>
      <w:r>
        <w:rPr>
          <w:rFonts w:ascii="Arial" w:hAnsi="Arial" w:cs="Arial"/>
          <w:sz w:val="21"/>
          <w:szCs w:val="21"/>
        </w:rPr>
        <w:t>10</w:t>
      </w:r>
      <w:r>
        <w:rPr>
          <w:rFonts w:ascii="Arial" w:hAnsi="Arial" w:cs="Arial"/>
          <w:sz w:val="21"/>
          <w:szCs w:val="21"/>
        </w:rPr>
        <w:t>天以上的创新工程师培训</w:t>
      </w:r>
      <w:r>
        <w:rPr>
          <w:rFonts w:ascii="Arial" w:hAnsi="Arial" w:cs="Arial"/>
          <w:sz w:val="21"/>
          <w:szCs w:val="21"/>
        </w:rPr>
        <w:t>1</w:t>
      </w:r>
      <w:r>
        <w:rPr>
          <w:rFonts w:ascii="Arial" w:hAnsi="Arial" w:cs="Arial"/>
          <w:sz w:val="21"/>
          <w:szCs w:val="21"/>
        </w:rPr>
        <w:t>期以上，培养</w:t>
      </w:r>
      <w:proofErr w:type="gramStart"/>
      <w:r>
        <w:rPr>
          <w:rFonts w:ascii="Arial" w:hAnsi="Arial" w:cs="Arial"/>
          <w:sz w:val="21"/>
          <w:szCs w:val="21"/>
        </w:rPr>
        <w:t>由创新</w:t>
      </w:r>
      <w:proofErr w:type="gramEnd"/>
      <w:r>
        <w:rPr>
          <w:rFonts w:ascii="Arial" w:hAnsi="Arial" w:cs="Arial"/>
          <w:sz w:val="21"/>
          <w:szCs w:val="21"/>
        </w:rPr>
        <w:t>方法研究会认证的创新工程师（二级以上）</w:t>
      </w:r>
      <w:r>
        <w:rPr>
          <w:rFonts w:ascii="Arial" w:hAnsi="Arial" w:cs="Arial"/>
          <w:sz w:val="21"/>
          <w:szCs w:val="21"/>
        </w:rPr>
        <w:t>10</w:t>
      </w:r>
      <w:r>
        <w:rPr>
          <w:rFonts w:ascii="Arial" w:hAnsi="Arial" w:cs="Arial"/>
          <w:sz w:val="21"/>
          <w:szCs w:val="21"/>
        </w:rPr>
        <w:t>人以上；示范企业培育项目需建立创新方法工作体系和有关制度，培养企业创新团队，在企业内部开展创新方法培训，每家企业培养创新工程师（二级以上）</w:t>
      </w:r>
      <w:r>
        <w:rPr>
          <w:rFonts w:ascii="Arial" w:hAnsi="Arial" w:cs="Arial"/>
          <w:sz w:val="21"/>
          <w:szCs w:val="21"/>
        </w:rPr>
        <w:t>5</w:t>
      </w:r>
      <w:r>
        <w:rPr>
          <w:rFonts w:ascii="Arial" w:hAnsi="Arial" w:cs="Arial"/>
          <w:sz w:val="21"/>
          <w:szCs w:val="21"/>
        </w:rPr>
        <w:t>人以上，解决技术难题</w:t>
      </w:r>
      <w:r>
        <w:rPr>
          <w:rFonts w:ascii="Arial" w:hAnsi="Arial" w:cs="Arial"/>
          <w:sz w:val="21"/>
          <w:szCs w:val="21"/>
        </w:rPr>
        <w:t>3</w:t>
      </w:r>
      <w:r>
        <w:rPr>
          <w:rFonts w:ascii="Arial" w:hAnsi="Arial" w:cs="Arial"/>
          <w:sz w:val="21"/>
          <w:szCs w:val="21"/>
        </w:rPr>
        <w:t>项以上，总结典型案例，并形成专利成果。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2</w:t>
      </w:r>
      <w:r>
        <w:rPr>
          <w:rFonts w:ascii="Arial" w:hAnsi="Arial" w:cs="Arial"/>
          <w:sz w:val="21"/>
          <w:szCs w:val="21"/>
        </w:rPr>
        <w:t>目标与要求：提交项目研究报告</w:t>
      </w:r>
      <w:r>
        <w:rPr>
          <w:rFonts w:ascii="Arial" w:hAnsi="Arial" w:cs="Arial"/>
          <w:sz w:val="21"/>
          <w:szCs w:val="21"/>
        </w:rPr>
        <w:t xml:space="preserve">1 </w:t>
      </w:r>
      <w:r>
        <w:rPr>
          <w:rFonts w:ascii="Arial" w:hAnsi="Arial" w:cs="Arial"/>
          <w:sz w:val="21"/>
          <w:szCs w:val="21"/>
        </w:rPr>
        <w:t>份，为创新方法工作决策提供理论依据；公开发表学术论文</w:t>
      </w:r>
      <w:r>
        <w:rPr>
          <w:rFonts w:ascii="Arial" w:hAnsi="Arial" w:cs="Arial"/>
          <w:sz w:val="21"/>
          <w:szCs w:val="21"/>
        </w:rPr>
        <w:t>2</w:t>
      </w:r>
      <w:r>
        <w:rPr>
          <w:rFonts w:ascii="Arial" w:hAnsi="Arial" w:cs="Arial"/>
          <w:sz w:val="21"/>
          <w:szCs w:val="21"/>
        </w:rPr>
        <w:t>篇以上。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按公益研究与能力建设专项统一要求。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w:t>
      </w:r>
      <w:proofErr w:type="gramStart"/>
      <w:r>
        <w:rPr>
          <w:rFonts w:ascii="Arial" w:hAnsi="Arial" w:cs="Arial"/>
          <w:sz w:val="21"/>
          <w:szCs w:val="21"/>
        </w:rPr>
        <w:t>纸件及</w:t>
      </w:r>
      <w:proofErr w:type="gramEnd"/>
      <w:r>
        <w:rPr>
          <w:rFonts w:ascii="Arial" w:hAnsi="Arial" w:cs="Arial"/>
          <w:sz w:val="21"/>
          <w:szCs w:val="21"/>
        </w:rPr>
        <w:t>附件要求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课题</w:t>
      </w:r>
      <w:r>
        <w:rPr>
          <w:rFonts w:ascii="Arial" w:hAnsi="Arial" w:cs="Arial"/>
          <w:sz w:val="21"/>
          <w:szCs w:val="21"/>
        </w:rPr>
        <w:t>1</w:t>
      </w:r>
      <w:r>
        <w:rPr>
          <w:rFonts w:ascii="Arial" w:hAnsi="Arial" w:cs="Arial"/>
          <w:sz w:val="21"/>
          <w:szCs w:val="21"/>
        </w:rPr>
        <w:t>中示范企业培育项目需提供企业资质方面的证明材料，如是否创新型企业、高新技术企业、是否组建工程中心、重点实验室等。</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（五）支持方式、强度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支持强度：</w:t>
      </w:r>
      <w:r>
        <w:rPr>
          <w:rFonts w:ascii="Arial" w:hAnsi="Arial" w:cs="Arial"/>
          <w:sz w:val="21"/>
          <w:szCs w:val="21"/>
        </w:rPr>
        <w:t>50</w:t>
      </w:r>
      <w:r>
        <w:rPr>
          <w:rFonts w:ascii="Arial" w:hAnsi="Arial" w:cs="Arial"/>
          <w:sz w:val="21"/>
          <w:szCs w:val="21"/>
        </w:rPr>
        <w:t>万元、</w:t>
      </w:r>
      <w:r>
        <w:rPr>
          <w:rFonts w:ascii="Arial" w:hAnsi="Arial" w:cs="Arial"/>
          <w:sz w:val="21"/>
          <w:szCs w:val="21"/>
        </w:rPr>
        <w:t>30</w:t>
      </w:r>
      <w:r>
        <w:rPr>
          <w:rFonts w:ascii="Arial" w:hAnsi="Arial" w:cs="Arial"/>
          <w:sz w:val="21"/>
          <w:szCs w:val="21"/>
        </w:rPr>
        <w:t>万元两个档次。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七、软科学研究领域（专题二十八</w:t>
      </w:r>
      <w:r>
        <w:rPr>
          <w:rFonts w:ascii="Arial" w:hAnsi="Arial" w:cs="Arial"/>
          <w:sz w:val="21"/>
          <w:szCs w:val="21"/>
        </w:rPr>
        <w:t>—</w:t>
      </w:r>
      <w:r>
        <w:rPr>
          <w:rFonts w:ascii="Arial" w:hAnsi="Arial" w:cs="Arial"/>
          <w:sz w:val="21"/>
          <w:szCs w:val="21"/>
        </w:rPr>
        <w:t>专题三十一）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围绕全面深化科技体制改革、加快实施创新驱动发展战略等重大决策需求，兼顾区域创新体系建设、创新创业环境优化等方面的热点难点问题，组织一批立足实践、面向决策的软科学研究项目，为新常态下科技创新支撑引领广东未来发展提供科学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联系人：陈晓</w:t>
      </w:r>
      <w:r>
        <w:rPr>
          <w:rFonts w:ascii="Arial" w:hAnsi="Arial" w:cs="Arial"/>
          <w:sz w:val="21"/>
          <w:szCs w:val="21"/>
        </w:rPr>
        <w:br/>
      </w:r>
      <w:r>
        <w:rPr>
          <w:rFonts w:ascii="Arial" w:hAnsi="Arial" w:cs="Arial"/>
          <w:sz w:val="21"/>
          <w:szCs w:val="21"/>
        </w:rPr>
        <w:t xml:space="preserve">　　电</w:t>
      </w:r>
      <w:r>
        <w:rPr>
          <w:rFonts w:ascii="Arial" w:hAnsi="Arial" w:cs="Arial"/>
          <w:sz w:val="21"/>
          <w:szCs w:val="21"/>
        </w:rPr>
        <w:t xml:space="preserve"> </w:t>
      </w:r>
      <w:r>
        <w:rPr>
          <w:rFonts w:ascii="Arial" w:hAnsi="Arial" w:cs="Arial"/>
          <w:sz w:val="21"/>
          <w:szCs w:val="21"/>
        </w:rPr>
        <w:t>话：</w:t>
      </w:r>
      <w:r>
        <w:rPr>
          <w:rFonts w:ascii="Arial" w:hAnsi="Arial" w:cs="Arial"/>
          <w:sz w:val="21"/>
          <w:szCs w:val="21"/>
        </w:rPr>
        <w:t>020-83163915</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w:t>
      </w:r>
      <w:r>
        <w:rPr>
          <w:rFonts w:ascii="Arial" w:hAnsi="Arial" w:cs="Arial"/>
          <w:sz w:val="21"/>
          <w:szCs w:val="21"/>
        </w:rPr>
        <w:t xml:space="preserve"> </w:t>
      </w:r>
      <w:r>
        <w:rPr>
          <w:rFonts w:ascii="Arial" w:hAnsi="Arial" w:cs="Arial"/>
          <w:sz w:val="21"/>
          <w:szCs w:val="21"/>
        </w:rPr>
        <w:t>专题内容。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专题二十八：软科学重大项目（专题编号</w:t>
      </w:r>
      <w:r>
        <w:rPr>
          <w:rFonts w:ascii="Arial" w:hAnsi="Arial" w:cs="Arial"/>
          <w:sz w:val="21"/>
          <w:szCs w:val="21"/>
        </w:rPr>
        <w:t>0702</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研究方向（项目名称可自拟）：</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广东省创新驱动实现度区域评估研究。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深入研究创新驱动发展阶段的评估标准，构建可评估广东省创新驱动所处发展阶段及实现程度的评估体系，对各地市实施创新驱动发展情况进行动态评估，提出广东实施创新驱动发展战略的分阶段推进对策措施，为省委、省政府掌握创新驱动发展战略的实施动态及发展进程、制定创新驱动发展政策提供科学的决策依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广东实施财政补助激励企业建立研发准备金制度的政策操作指引研究。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深入分析运用财政补助机制激励企业建立研发准备金制度面临的障碍，提出广东实施财政补助激励企业建立研发准备金制度的政策实操方案，重点在补助对象、资金来源、补助依据及标准、企业研发费用核定标准、补助资金兑付及监管方式、全流程设置等方面提出建议，为广东省实施企业研发财政补助政策、引导支持企业加大研发投入、增强科技创新能力提供实操指引。</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创建珠三角国家自主创新示范区发展战略研究。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实际参与珠三角国家自主创新示范区申建工作，深入研究珠三角地区创建国家自主创新示范区的基础、面临形势、战略意义及定位，重点在自主创新、产业集群、创新要素、空间布局、开放创新、发展环境等方面进行研究，提出当前需要国家支持和赋予的先行先试政策，为科学推进珠三角创建国家自主创新示范区工作提供支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广东科技创新引领经济新常态发展战略研究。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全面分析基于引领经济发展新常态背景下的广东科技创新现状与问题、面临的机遇与挑战，研究提出新时期广东科技创新发展的战略方向、目标、重点、规划方案及对策建议，为加快广东科技创新引领经济新常态发展提供科学决策依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广东省重大科技体制改革实施绩效研究。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按照《中共广东省委</w:t>
      </w:r>
      <w:r>
        <w:rPr>
          <w:rFonts w:ascii="Arial" w:hAnsi="Arial" w:cs="Arial"/>
          <w:sz w:val="21"/>
          <w:szCs w:val="21"/>
        </w:rPr>
        <w:t xml:space="preserve"> </w:t>
      </w:r>
      <w:r>
        <w:rPr>
          <w:rFonts w:ascii="Arial" w:hAnsi="Arial" w:cs="Arial"/>
          <w:sz w:val="21"/>
          <w:szCs w:val="21"/>
        </w:rPr>
        <w:t>广东省人民政府关于全面深化科技体制改革</w:t>
      </w:r>
      <w:r>
        <w:rPr>
          <w:rFonts w:ascii="Arial" w:hAnsi="Arial" w:cs="Arial"/>
          <w:sz w:val="21"/>
          <w:szCs w:val="21"/>
        </w:rPr>
        <w:t xml:space="preserve"> </w:t>
      </w:r>
      <w:r>
        <w:rPr>
          <w:rFonts w:ascii="Arial" w:hAnsi="Arial" w:cs="Arial"/>
          <w:sz w:val="21"/>
          <w:szCs w:val="21"/>
        </w:rPr>
        <w:t>加快创新驱动发展的决定》的顶层设计，对我省重大科技体制改革的实施绩效开展研究，重点围绕省属科研机构改革、科研管理体制改革以及科技成果转化改革等重大科技体制改革实施绩效进行监测评估，为我省全面深化科技体制改革提供重要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专题二十九：软科学重点项目（专题编号</w:t>
      </w:r>
      <w:r>
        <w:rPr>
          <w:rFonts w:ascii="Arial" w:hAnsi="Arial" w:cs="Arial"/>
          <w:sz w:val="21"/>
          <w:szCs w:val="21"/>
        </w:rPr>
        <w:t>0703</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研究方向（项目名称可自拟）：</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广东省加快科技创新若干政策制定研究。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围绕广东加快科技创新迫切需要解决的重大核心问题，重点在企业研发准备金制度、政府购买制度、科技企业孵化器、科技成果转化等方面开展研究，提出可牵一发而动全身、在全国先行先试的具有引领性、创新性、针对性和可操作性的重大创新政策建议，为制定广东省加快科技创新若干政策及其实施细则提供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基于实施创新驱动发展战略的创新型城市考核评价体系研究。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研究分析不同地区创新型城市建设的现状与发展模式、提升创新能力及创新驱动实效的核心要素与重点路径，基于实施创新驱动发展战略背景，提出符合广东实际的创新型城市考核评价体系，为广东全面深化科技体制改革、加快创新驱动发展提供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广东省主要传统产业专利技术发展策略研究。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研究梳理广东省主要传统产业专利技术发展的现状、成效与主要问题，分析面临的新形势与发展机遇，研究提出促进广东省主要传统产业专利技术发展的重点任务与策略建议，为加快推动广东省主要传统产业专利技术发展提供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创新驱动发展战略背景下的广东省科研机构行业与区域布局研究。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研究分析广东省不同类型科研机构（包括省属科研机构、新型研发机构等公有制和非公有制科研机构）在不同行业、区域的发展现状与优劣势，结合实施创新驱动发展战略背景，提出完善广东省科研机构行业与区域布局的思路及相关对策建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高校建设新型研发机构的体制机制创新研究。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研究梳理高校建设新型研发机构的现状、体制机制创新之处及面临问题，全面总结高校建设新型研发机构的建设模式、运营机制及管理机制，提出引导和支持省内外高校来广东省建设新型研发机构的政策建议，为广东加快新型研发机构建设提供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省级企业创新平台体系建设与创新能力监测研究。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全面分析广东省企业重点实验室、省工程技术研究中心、省级企业技术中心等省级企业创新平台建设现状、发展瓶颈、面临的新形势及发展机遇，研究制定省级企业创新平台体系建设与创新能力监测评估指标，对省级企业创新平台建设情况进行动态监测，为广东完善区域创新体系、科学制定企业研发机构政策提供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7.</w:t>
      </w:r>
      <w:r>
        <w:rPr>
          <w:rFonts w:ascii="Arial" w:hAnsi="Arial" w:cs="Arial"/>
          <w:sz w:val="21"/>
          <w:szCs w:val="21"/>
        </w:rPr>
        <w:t>科技计划项目管理专业机构规范化建设研究。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分析中央与广东财政科技计划管理改革背景下的项目管理专业机构建设现状、存在问题及面临的机遇与挑战，研究提出完善专业机构承担科技计划项目管理工作体制机制的思路对策，形成广东省科技计划项目管理专业机构管理办法、分级评价标准、服务质量管理体系等具体建议，为加强项目管理专业机构的规范化建设，完善专业机构评估监管体系，保障广东科技计划项目管理工作，推进政府科技管理职能转变提供科学支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8.</w:t>
      </w:r>
      <w:r>
        <w:rPr>
          <w:rFonts w:ascii="Arial" w:hAnsi="Arial" w:cs="Arial"/>
          <w:sz w:val="21"/>
          <w:szCs w:val="21"/>
        </w:rPr>
        <w:t>广东省财政科技专项资金绩效评价指标体系研究。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分析广东省财政专项资金绩效评价指标体系的现状，以及其中科技专项资金评价存在的问题，基于科技专项资金特殊性与科研活动的规律及特点，研究财政专项资金共性指标和科技专项资金个性指标、科技专项资金绩效各阶段（实施过程中及完成后）评价指标体系，为建立符合科研实际的省财政科技专项资金绩效评价指标体系、完善绩效评价组织工作机制、提升绩效评价工作科学性提供依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9.</w:t>
      </w:r>
      <w:r>
        <w:rPr>
          <w:rFonts w:ascii="Arial" w:hAnsi="Arial" w:cs="Arial"/>
          <w:sz w:val="21"/>
          <w:szCs w:val="21"/>
        </w:rPr>
        <w:t>广东省科技创新项目与科技人才建设的互动支撑模式与机制研究。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借鉴先进国家和地区的经验做法，结合广东省科技创新项目与科技人才建设的现状、成效与主要问题，围绕对接科技创新项目人才培养引进的目标绩效与科技人才支撑项目开展的服务绩效，研究科技创新项目与科技人才建设的互动支撑模式与机制，提出优化广东省科技创新项目与科技人才建设融合度，促进创新链、产业链、资金链、人才链融合发展的对策建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10.</w:t>
      </w:r>
      <w:r>
        <w:rPr>
          <w:rFonts w:ascii="Arial" w:hAnsi="Arial" w:cs="Arial"/>
          <w:sz w:val="21"/>
          <w:szCs w:val="21"/>
        </w:rPr>
        <w:t>广东产学研多主体协同创新机制研究。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围绕创新驱动发展战略部署，研究提出新形势下全面推进广东产学研多主体协同创新的机制、实践重点及相关对策建议，为进一步出台相关政策，营造机制灵活、充满活力的产学研多主体协同创新环境，提升广东产业转型升级效能提供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11.</w:t>
      </w:r>
      <w:r>
        <w:rPr>
          <w:rFonts w:ascii="Arial" w:hAnsi="Arial" w:cs="Arial"/>
          <w:sz w:val="21"/>
          <w:szCs w:val="21"/>
        </w:rPr>
        <w:t>科技型中小</w:t>
      </w:r>
      <w:proofErr w:type="gramStart"/>
      <w:r>
        <w:rPr>
          <w:rFonts w:ascii="Arial" w:hAnsi="Arial" w:cs="Arial"/>
          <w:sz w:val="21"/>
          <w:szCs w:val="21"/>
        </w:rPr>
        <w:t>微企业</w:t>
      </w:r>
      <w:proofErr w:type="gramEnd"/>
      <w:r>
        <w:rPr>
          <w:rFonts w:ascii="Arial" w:hAnsi="Arial" w:cs="Arial"/>
          <w:sz w:val="21"/>
          <w:szCs w:val="21"/>
        </w:rPr>
        <w:t>融资增信体系建设研究。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结合科技企业风险特征，引入商业信用评估技术，开展科技型中小</w:t>
      </w:r>
      <w:proofErr w:type="gramStart"/>
      <w:r>
        <w:rPr>
          <w:rFonts w:ascii="Arial" w:hAnsi="Arial" w:cs="Arial"/>
          <w:sz w:val="21"/>
          <w:szCs w:val="21"/>
        </w:rPr>
        <w:t>微企业</w:t>
      </w:r>
      <w:proofErr w:type="gramEnd"/>
      <w:r>
        <w:rPr>
          <w:rFonts w:ascii="Arial" w:hAnsi="Arial" w:cs="Arial"/>
          <w:sz w:val="21"/>
          <w:szCs w:val="21"/>
        </w:rPr>
        <w:t>融资增信体系研究，提出适合科技金融项目面向科技型中小</w:t>
      </w:r>
      <w:proofErr w:type="gramStart"/>
      <w:r>
        <w:rPr>
          <w:rFonts w:ascii="Arial" w:hAnsi="Arial" w:cs="Arial"/>
          <w:sz w:val="21"/>
          <w:szCs w:val="21"/>
        </w:rPr>
        <w:t>微企业</w:t>
      </w:r>
      <w:proofErr w:type="gramEnd"/>
      <w:r>
        <w:rPr>
          <w:rFonts w:ascii="Arial" w:hAnsi="Arial" w:cs="Arial"/>
          <w:sz w:val="21"/>
          <w:szCs w:val="21"/>
        </w:rPr>
        <w:t>融资的信用评估体系以及评估系统建设方案，为优化科技型中小</w:t>
      </w:r>
      <w:proofErr w:type="gramStart"/>
      <w:r>
        <w:rPr>
          <w:rFonts w:ascii="Arial" w:hAnsi="Arial" w:cs="Arial"/>
          <w:sz w:val="21"/>
          <w:szCs w:val="21"/>
        </w:rPr>
        <w:t>微企业</w:t>
      </w:r>
      <w:proofErr w:type="gramEnd"/>
      <w:r>
        <w:rPr>
          <w:rFonts w:ascii="Arial" w:hAnsi="Arial" w:cs="Arial"/>
          <w:sz w:val="21"/>
          <w:szCs w:val="21"/>
        </w:rPr>
        <w:t>融资环境、增强科技金融资金配置导向提供支撑。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12.</w:t>
      </w:r>
      <w:r>
        <w:rPr>
          <w:rFonts w:ascii="Arial" w:hAnsi="Arial" w:cs="Arial"/>
          <w:sz w:val="21"/>
          <w:szCs w:val="21"/>
        </w:rPr>
        <w:t>海上丝绸之路经济带科技合作圈框架研究。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结合我国建设</w:t>
      </w:r>
      <w:r>
        <w:rPr>
          <w:rFonts w:ascii="Arial" w:hAnsi="Arial" w:cs="Arial"/>
          <w:sz w:val="21"/>
          <w:szCs w:val="21"/>
        </w:rPr>
        <w:t>21</w:t>
      </w:r>
      <w:r>
        <w:rPr>
          <w:rFonts w:ascii="Arial" w:hAnsi="Arial" w:cs="Arial"/>
          <w:sz w:val="21"/>
          <w:szCs w:val="21"/>
        </w:rPr>
        <w:t>世纪海上丝绸之路经济</w:t>
      </w:r>
      <w:proofErr w:type="gramStart"/>
      <w:r>
        <w:rPr>
          <w:rFonts w:ascii="Arial" w:hAnsi="Arial" w:cs="Arial"/>
          <w:sz w:val="21"/>
          <w:szCs w:val="21"/>
        </w:rPr>
        <w:t>带战略</w:t>
      </w:r>
      <w:proofErr w:type="gramEnd"/>
      <w:r>
        <w:rPr>
          <w:rFonts w:ascii="Arial" w:hAnsi="Arial" w:cs="Arial"/>
          <w:sz w:val="21"/>
          <w:szCs w:val="21"/>
        </w:rPr>
        <w:t>以及全球、广东科技发展现状与趋势，研究提出广东发展海上丝绸之路经济带科技合作圈的优势基础、战略目标、重点领域及发展模式，为建立海上丝绸之路经济带科技合作圈框架提供科学依据。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专题三十：软科学面上项目（专题编号：</w:t>
      </w:r>
      <w:r>
        <w:rPr>
          <w:rFonts w:ascii="Arial" w:hAnsi="Arial" w:cs="Arial"/>
          <w:sz w:val="21"/>
          <w:szCs w:val="21"/>
        </w:rPr>
        <w:t>0704</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本专题支持对广东科技密切相关问题的自由探索研究，重点支持以下研究方向（项目名称自拟，但不得与上述重大、重点项目重复）：</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1.</w:t>
      </w:r>
      <w:r>
        <w:rPr>
          <w:rFonts w:ascii="Arial" w:hAnsi="Arial" w:cs="Arial"/>
          <w:sz w:val="21"/>
          <w:szCs w:val="21"/>
        </w:rPr>
        <w:t>科技发展战略规划研究；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科技政策法规研究；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区域创新体系研究；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产业转型升级研究；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科技金融研究；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科技民生研究；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7.</w:t>
      </w:r>
      <w:r>
        <w:rPr>
          <w:rFonts w:ascii="Arial" w:hAnsi="Arial" w:cs="Arial"/>
          <w:sz w:val="21"/>
          <w:szCs w:val="21"/>
        </w:rPr>
        <w:t>科技服务管理研究；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8.</w:t>
      </w:r>
      <w:r>
        <w:rPr>
          <w:rFonts w:ascii="Arial" w:hAnsi="Arial" w:cs="Arial"/>
          <w:sz w:val="21"/>
          <w:szCs w:val="21"/>
        </w:rPr>
        <w:t>科技人才与科普研究；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9.</w:t>
      </w:r>
      <w:r>
        <w:rPr>
          <w:rFonts w:ascii="Arial" w:hAnsi="Arial" w:cs="Arial"/>
          <w:sz w:val="21"/>
          <w:szCs w:val="21"/>
        </w:rPr>
        <w:t>科技知识产权研究。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专题三十一：软科学面上青年博士启动项目（专题编号：</w:t>
      </w:r>
      <w:r>
        <w:rPr>
          <w:rFonts w:ascii="Arial" w:hAnsi="Arial" w:cs="Arial"/>
          <w:sz w:val="21"/>
          <w:szCs w:val="21"/>
        </w:rPr>
        <w:t>0705</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本专题支持研究方向与上述软科学面上项目专题的</w:t>
      </w:r>
      <w:r>
        <w:rPr>
          <w:rFonts w:ascii="Arial" w:hAnsi="Arial" w:cs="Arial"/>
          <w:sz w:val="21"/>
          <w:szCs w:val="21"/>
        </w:rPr>
        <w:t>9</w:t>
      </w:r>
      <w:r>
        <w:rPr>
          <w:rFonts w:ascii="Arial" w:hAnsi="Arial" w:cs="Arial"/>
          <w:sz w:val="21"/>
          <w:szCs w:val="21"/>
        </w:rPr>
        <w:t>个研究方向相一致，面向青年博士申报。</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w:t>
      </w:r>
      <w:r>
        <w:rPr>
          <w:rFonts w:ascii="Arial" w:hAnsi="Arial" w:cs="Arial"/>
          <w:sz w:val="21"/>
          <w:szCs w:val="21"/>
        </w:rPr>
        <w:t xml:space="preserve"> </w:t>
      </w:r>
      <w:r>
        <w:rPr>
          <w:rFonts w:ascii="Arial" w:hAnsi="Arial" w:cs="Arial"/>
          <w:sz w:val="21"/>
          <w:szCs w:val="21"/>
        </w:rPr>
        <w:t>研究目标及成果要求。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项目研究应坚持理论与应用对策研究相结合，优先支持有政府决策咨询需求的研究项目，项目完成后必须提供可供相关部门决策参考的决策咨询报告（重大、重点项目需</w:t>
      </w:r>
      <w:r>
        <w:rPr>
          <w:rFonts w:ascii="Arial" w:hAnsi="Arial" w:cs="Arial"/>
          <w:sz w:val="21"/>
          <w:szCs w:val="21"/>
        </w:rPr>
        <w:t>5000</w:t>
      </w:r>
      <w:r>
        <w:rPr>
          <w:rFonts w:ascii="Arial" w:hAnsi="Arial" w:cs="Arial"/>
          <w:sz w:val="21"/>
          <w:szCs w:val="21"/>
        </w:rPr>
        <w:t>字左右，面上项目需</w:t>
      </w:r>
      <w:r>
        <w:rPr>
          <w:rFonts w:ascii="Arial" w:hAnsi="Arial" w:cs="Arial"/>
          <w:sz w:val="21"/>
          <w:szCs w:val="21"/>
        </w:rPr>
        <w:t>3000</w:t>
      </w:r>
      <w:r>
        <w:rPr>
          <w:rFonts w:ascii="Arial" w:hAnsi="Arial" w:cs="Arial"/>
          <w:sz w:val="21"/>
          <w:szCs w:val="21"/>
        </w:rPr>
        <w:t>字左右）和研究总报告（重大项目不少于</w:t>
      </w:r>
      <w:r>
        <w:rPr>
          <w:rFonts w:ascii="Arial" w:hAnsi="Arial" w:cs="Arial"/>
          <w:sz w:val="21"/>
          <w:szCs w:val="21"/>
        </w:rPr>
        <w:t>10</w:t>
      </w:r>
      <w:r>
        <w:rPr>
          <w:rFonts w:ascii="Arial" w:hAnsi="Arial" w:cs="Arial"/>
          <w:sz w:val="21"/>
          <w:szCs w:val="21"/>
        </w:rPr>
        <w:t>万字，重点项目不少于</w:t>
      </w:r>
      <w:r>
        <w:rPr>
          <w:rFonts w:ascii="Arial" w:hAnsi="Arial" w:cs="Arial"/>
          <w:sz w:val="21"/>
          <w:szCs w:val="21"/>
        </w:rPr>
        <w:t>5</w:t>
      </w:r>
      <w:r>
        <w:rPr>
          <w:rFonts w:ascii="Arial" w:hAnsi="Arial" w:cs="Arial"/>
          <w:sz w:val="21"/>
          <w:szCs w:val="21"/>
        </w:rPr>
        <w:t>万字，面上项目不少于</w:t>
      </w:r>
      <w:r>
        <w:rPr>
          <w:rFonts w:ascii="Arial" w:hAnsi="Arial" w:cs="Arial"/>
          <w:sz w:val="21"/>
          <w:szCs w:val="21"/>
        </w:rPr>
        <w:t>3</w:t>
      </w:r>
      <w:r>
        <w:rPr>
          <w:rFonts w:ascii="Arial" w:hAnsi="Arial" w:cs="Arial"/>
          <w:sz w:val="21"/>
          <w:szCs w:val="21"/>
        </w:rPr>
        <w:t>万字），重大、重点项目可形成专著的优先支持。项目材料应真实、无知识产权争议，研究所引用或提供的数据以最新数据为主，项目成果引用资料与</w:t>
      </w:r>
      <w:proofErr w:type="gramStart"/>
      <w:r>
        <w:rPr>
          <w:rFonts w:ascii="Arial" w:hAnsi="Arial" w:cs="Arial"/>
          <w:sz w:val="21"/>
          <w:szCs w:val="21"/>
        </w:rPr>
        <w:t>文字查重率</w:t>
      </w:r>
      <w:proofErr w:type="gramEnd"/>
      <w:r>
        <w:rPr>
          <w:rFonts w:ascii="Arial" w:hAnsi="Arial" w:cs="Arial"/>
          <w:sz w:val="21"/>
          <w:szCs w:val="21"/>
        </w:rPr>
        <w:t>不得超过</w:t>
      </w:r>
      <w:r>
        <w:rPr>
          <w:rFonts w:ascii="Arial" w:hAnsi="Arial" w:cs="Arial"/>
          <w:sz w:val="21"/>
          <w:szCs w:val="21"/>
        </w:rPr>
        <w:t>10%</w:t>
      </w:r>
      <w:r>
        <w:rPr>
          <w:rFonts w:ascii="Arial" w:hAnsi="Arial" w:cs="Arial"/>
          <w:sz w:val="21"/>
          <w:szCs w:val="21"/>
        </w:rPr>
        <w:t>。项目通过验收结题后，项目成果应按规定格式入选广东省软科学研究成果库，省科技厅将享有对项目成果的汇编权、信息网络传播权等权利，将对优秀成果进行遴选并适时在《广东科技》杂志刊出。</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申报单位条件。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申报单位必须是省内注册的具有独立法人资格的软科学研究机构或具有软科学研究能力的单位，有一支能胜任研究任务、学科及人员结构较为合理、相对稳定的研究队伍，能为项目任务的完成提供必要的条件和资金保障。</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）重大项目承担单位应具备雄厚的研究基础，具有丰富的承担省级软科学研究计划重大项目的经验，研究成果曾被省级以上科技主管部门及政府相关部门采纳应用。</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）联合申报项目的单位，应提供项目合作协议。</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申报人条件。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）项目申报人需熟悉广东省情，具备与项目内容相应的理论知识和工作基础，具有较高研究水平、组织能力和良好科研信用。</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）重大项目负责人应从事相关工作</w:t>
      </w:r>
      <w:r>
        <w:rPr>
          <w:rFonts w:ascii="Arial" w:hAnsi="Arial" w:cs="Arial"/>
          <w:sz w:val="21"/>
          <w:szCs w:val="21"/>
        </w:rPr>
        <w:t>3</w:t>
      </w:r>
      <w:r>
        <w:rPr>
          <w:rFonts w:ascii="Arial" w:hAnsi="Arial" w:cs="Arial"/>
          <w:sz w:val="21"/>
          <w:szCs w:val="21"/>
        </w:rPr>
        <w:t>年以上，近</w:t>
      </w:r>
      <w:r>
        <w:rPr>
          <w:rFonts w:ascii="Arial" w:hAnsi="Arial" w:cs="Arial"/>
          <w:sz w:val="21"/>
          <w:szCs w:val="21"/>
        </w:rPr>
        <w:t>3</w:t>
      </w:r>
      <w:r>
        <w:rPr>
          <w:rFonts w:ascii="Arial" w:hAnsi="Arial" w:cs="Arial"/>
          <w:sz w:val="21"/>
          <w:szCs w:val="21"/>
        </w:rPr>
        <w:t>年承担过省级软科学研究计划重大项目的经验，优先支持具有正高级职称负责人项目；重点项目负责人应具有副高级以上职称，或同时具有中级以上职称和硕士以上学位；面上项目负责人应具有中级以上职称或硕士以上学位；面上青年博士启动项目负责人截至</w:t>
      </w:r>
      <w:r>
        <w:rPr>
          <w:rFonts w:ascii="Arial" w:hAnsi="Arial" w:cs="Arial"/>
          <w:sz w:val="21"/>
          <w:szCs w:val="21"/>
        </w:rPr>
        <w:t>2015</w:t>
      </w:r>
      <w:r>
        <w:rPr>
          <w:rFonts w:ascii="Arial" w:hAnsi="Arial" w:cs="Arial"/>
          <w:sz w:val="21"/>
          <w:szCs w:val="21"/>
        </w:rPr>
        <w:t>年</w:t>
      </w:r>
      <w:r>
        <w:rPr>
          <w:rFonts w:ascii="Arial" w:hAnsi="Arial" w:cs="Arial"/>
          <w:sz w:val="21"/>
          <w:szCs w:val="21"/>
        </w:rPr>
        <w:t>1</w:t>
      </w:r>
      <w:r>
        <w:rPr>
          <w:rFonts w:ascii="Arial" w:hAnsi="Arial" w:cs="Arial"/>
          <w:sz w:val="21"/>
          <w:szCs w:val="21"/>
        </w:rPr>
        <w:t>月</w:t>
      </w:r>
      <w:r>
        <w:rPr>
          <w:rFonts w:ascii="Arial" w:hAnsi="Arial" w:cs="Arial"/>
          <w:sz w:val="21"/>
          <w:szCs w:val="21"/>
        </w:rPr>
        <w:t>1</w:t>
      </w:r>
      <w:r>
        <w:rPr>
          <w:rFonts w:ascii="Arial" w:hAnsi="Arial" w:cs="Arial"/>
          <w:sz w:val="21"/>
          <w:szCs w:val="21"/>
        </w:rPr>
        <w:t>日，取得博士学位时间应不超过</w:t>
      </w:r>
      <w:r>
        <w:rPr>
          <w:rFonts w:ascii="Arial" w:hAnsi="Arial" w:cs="Arial"/>
          <w:sz w:val="21"/>
          <w:szCs w:val="21"/>
        </w:rPr>
        <w:t>3</w:t>
      </w:r>
      <w:r>
        <w:rPr>
          <w:rFonts w:ascii="Arial" w:hAnsi="Arial" w:cs="Arial"/>
          <w:sz w:val="21"/>
          <w:szCs w:val="21"/>
        </w:rPr>
        <w:t>年，年龄不超过</w:t>
      </w:r>
      <w:r>
        <w:rPr>
          <w:rFonts w:ascii="Arial" w:hAnsi="Arial" w:cs="Arial"/>
          <w:sz w:val="21"/>
          <w:szCs w:val="21"/>
        </w:rPr>
        <w:t>35</w:t>
      </w:r>
      <w:r>
        <w:rPr>
          <w:rFonts w:ascii="Arial" w:hAnsi="Arial" w:cs="Arial"/>
          <w:sz w:val="21"/>
          <w:szCs w:val="21"/>
        </w:rPr>
        <w:t>周岁。</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）有广东省软科学研究计划逾期未结题验收项目（</w:t>
      </w:r>
      <w:r>
        <w:rPr>
          <w:rFonts w:ascii="Arial" w:hAnsi="Arial" w:cs="Arial"/>
          <w:sz w:val="21"/>
          <w:szCs w:val="21"/>
        </w:rPr>
        <w:t>2013</w:t>
      </w:r>
      <w:r>
        <w:rPr>
          <w:rFonts w:ascii="Arial" w:hAnsi="Arial" w:cs="Arial"/>
          <w:sz w:val="21"/>
          <w:szCs w:val="21"/>
        </w:rPr>
        <w:t>年度以前）的项目负责人不得申报本年度新项目。</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实施周期要求。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项目实施周期原则上不得超过</w:t>
      </w:r>
      <w:r>
        <w:rPr>
          <w:rFonts w:ascii="Arial" w:hAnsi="Arial" w:cs="Arial"/>
          <w:sz w:val="21"/>
          <w:szCs w:val="21"/>
        </w:rPr>
        <w:t>2</w:t>
      </w:r>
      <w:r>
        <w:rPr>
          <w:rFonts w:ascii="Arial" w:hAnsi="Arial" w:cs="Arial"/>
          <w:sz w:val="21"/>
          <w:szCs w:val="21"/>
        </w:rPr>
        <w:t>年，鼓励提前完成并及时申请验收结题；项目起始时间可根据项目实施具体情况确定。</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形式审查要求。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）本年度继续实行限项推荐申报，</w:t>
      </w:r>
      <w:r>
        <w:rPr>
          <w:rFonts w:ascii="Arial" w:hAnsi="Arial" w:cs="Arial"/>
          <w:sz w:val="21"/>
          <w:szCs w:val="21"/>
        </w:rPr>
        <w:t xml:space="preserve"> </w:t>
      </w:r>
      <w:r>
        <w:rPr>
          <w:rFonts w:ascii="Arial" w:hAnsi="Arial" w:cs="Arial"/>
          <w:sz w:val="21"/>
          <w:szCs w:val="21"/>
        </w:rPr>
        <w:t>限项推荐指标根据各单位及全省近</w:t>
      </w:r>
      <w:r>
        <w:rPr>
          <w:rFonts w:ascii="Arial" w:hAnsi="Arial" w:cs="Arial"/>
          <w:sz w:val="21"/>
          <w:szCs w:val="21"/>
        </w:rPr>
        <w:t>3</w:t>
      </w:r>
      <w:r>
        <w:rPr>
          <w:rFonts w:ascii="Arial" w:hAnsi="Arial" w:cs="Arial"/>
          <w:sz w:val="21"/>
          <w:szCs w:val="21"/>
        </w:rPr>
        <w:t>年省软科学研究计划申报、立项及验收有关统计情况制定，新增申报推荐单位统一限报</w:t>
      </w:r>
      <w:r>
        <w:rPr>
          <w:rFonts w:ascii="Arial" w:hAnsi="Arial" w:cs="Arial"/>
          <w:sz w:val="21"/>
          <w:szCs w:val="21"/>
        </w:rPr>
        <w:t>1</w:t>
      </w:r>
      <w:r>
        <w:rPr>
          <w:rFonts w:ascii="Arial" w:hAnsi="Arial" w:cs="Arial"/>
          <w:sz w:val="21"/>
          <w:szCs w:val="21"/>
        </w:rPr>
        <w:t>项，其他单位推荐指标请推荐单位管理员登录</w:t>
      </w:r>
      <w:r>
        <w:rPr>
          <w:rFonts w:ascii="Arial" w:hAnsi="Arial" w:cs="Arial"/>
          <w:sz w:val="21"/>
          <w:szCs w:val="21"/>
        </w:rPr>
        <w:t>“</w:t>
      </w:r>
      <w:r>
        <w:rPr>
          <w:rFonts w:ascii="Arial" w:hAnsi="Arial" w:cs="Arial"/>
          <w:sz w:val="21"/>
          <w:szCs w:val="21"/>
        </w:rPr>
        <w:t>广东省科技厅阳光政务平台</w:t>
      </w:r>
      <w:r>
        <w:rPr>
          <w:rFonts w:ascii="Arial" w:hAnsi="Arial" w:cs="Arial"/>
          <w:sz w:val="21"/>
          <w:szCs w:val="21"/>
        </w:rPr>
        <w:t>”</w:t>
      </w:r>
      <w:r>
        <w:rPr>
          <w:rFonts w:ascii="Arial" w:hAnsi="Arial" w:cs="Arial"/>
          <w:sz w:val="21"/>
          <w:szCs w:val="21"/>
        </w:rPr>
        <w:t>查询。项目推荐单位应对申报项目进行认真审查，认真筛选和推荐符合指南申报要求的优秀项目，严格把好申报质量关，用好限项推荐指标。</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项目推荐受理后，不符合指南申报要求、重复申报或申报材料不齐全的，将作为资格审查不合格项目，不予进入评审环节，同时不再受理申报单位对该项目的修正材料或替代申报的其他项目材料。资格审查合格率将作为制定项目推荐单位今后限项推荐指标的重要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申报材料要求。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项目实行网上申报，</w:t>
      </w:r>
      <w:proofErr w:type="gramStart"/>
      <w:r>
        <w:rPr>
          <w:rFonts w:ascii="Arial" w:hAnsi="Arial" w:cs="Arial"/>
          <w:sz w:val="21"/>
          <w:szCs w:val="21"/>
        </w:rPr>
        <w:t>除项目</w:t>
      </w:r>
      <w:proofErr w:type="gramEnd"/>
      <w:r>
        <w:rPr>
          <w:rFonts w:ascii="Arial" w:hAnsi="Arial" w:cs="Arial"/>
          <w:sz w:val="21"/>
          <w:szCs w:val="21"/>
        </w:rPr>
        <w:t>申报书及可行性研究报告外，附件材料必须包括：</w:t>
      </w:r>
      <w:r>
        <w:rPr>
          <w:rFonts w:ascii="Arial" w:hAnsi="Arial" w:cs="Arial"/>
          <w:sz w:val="21"/>
          <w:szCs w:val="21"/>
        </w:rPr>
        <w:t>1.</w:t>
      </w:r>
      <w:r>
        <w:rPr>
          <w:rFonts w:ascii="Arial" w:hAnsi="Arial" w:cs="Arial"/>
          <w:sz w:val="21"/>
          <w:szCs w:val="21"/>
        </w:rPr>
        <w:t>单位资质证明（单位法人证书、组织机构代码证、企业营业执照复印件等）；</w:t>
      </w:r>
      <w:r>
        <w:rPr>
          <w:rFonts w:ascii="Arial" w:hAnsi="Arial" w:cs="Arial"/>
          <w:sz w:val="21"/>
          <w:szCs w:val="21"/>
        </w:rPr>
        <w:t>2.</w:t>
      </w:r>
      <w:r>
        <w:rPr>
          <w:rFonts w:ascii="Arial" w:hAnsi="Arial" w:cs="Arial"/>
          <w:sz w:val="21"/>
          <w:szCs w:val="21"/>
        </w:rPr>
        <w:t>项目负责人资质证明（职称、学位等相关资格证书复印件等）。申报重大、重点项目还必须提供：</w:t>
      </w:r>
      <w:r>
        <w:rPr>
          <w:rFonts w:ascii="Arial" w:hAnsi="Arial" w:cs="Arial"/>
          <w:sz w:val="21"/>
          <w:szCs w:val="21"/>
        </w:rPr>
        <w:t>3.</w:t>
      </w:r>
      <w:r>
        <w:rPr>
          <w:rFonts w:ascii="Arial" w:hAnsi="Arial" w:cs="Arial"/>
          <w:sz w:val="21"/>
          <w:szCs w:val="21"/>
        </w:rPr>
        <w:t>研究基础证明材料（与申报项目相关的国家及省部级项目立项文件、合同书、验收材料等；以往成果应用采纳证明；各类获奖证书；已发表中文核心期刊论文、正式出版专著的封面与版权页复印件证明材料等）。此外，联合申报项目还必须提供：</w:t>
      </w:r>
      <w:r>
        <w:rPr>
          <w:rFonts w:ascii="Arial" w:hAnsi="Arial" w:cs="Arial"/>
          <w:sz w:val="21"/>
          <w:szCs w:val="21"/>
        </w:rPr>
        <w:t>4.</w:t>
      </w:r>
      <w:r>
        <w:rPr>
          <w:rFonts w:ascii="Arial" w:hAnsi="Arial" w:cs="Arial"/>
          <w:sz w:val="21"/>
          <w:szCs w:val="21"/>
        </w:rPr>
        <w:t>项目合作协议。以上附件需作为申报书附件上传至项目申报系统，纸质材料应按顺序胶装并附目录，均需一式</w:t>
      </w:r>
      <w:r>
        <w:rPr>
          <w:rFonts w:ascii="Arial" w:hAnsi="Arial" w:cs="Arial"/>
          <w:sz w:val="21"/>
          <w:szCs w:val="21"/>
        </w:rPr>
        <w:t>1</w:t>
      </w:r>
      <w:r>
        <w:rPr>
          <w:rFonts w:ascii="Arial" w:hAnsi="Arial" w:cs="Arial"/>
          <w:sz w:val="21"/>
          <w:szCs w:val="21"/>
        </w:rPr>
        <w:t>份。</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w:t>
      </w:r>
      <w:r>
        <w:rPr>
          <w:rFonts w:ascii="Arial" w:hAnsi="Arial" w:cs="Arial"/>
          <w:sz w:val="21"/>
          <w:szCs w:val="21"/>
        </w:rPr>
        <w:t xml:space="preserve"> </w:t>
      </w:r>
      <w:r>
        <w:rPr>
          <w:rFonts w:ascii="Arial" w:hAnsi="Arial" w:cs="Arial"/>
          <w:sz w:val="21"/>
          <w:szCs w:val="21"/>
        </w:rPr>
        <w:t>支持强度。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软科学重大项目专题第</w:t>
      </w:r>
      <w:r>
        <w:rPr>
          <w:rFonts w:ascii="Arial" w:hAnsi="Arial" w:cs="Arial"/>
          <w:sz w:val="21"/>
          <w:szCs w:val="21"/>
        </w:rPr>
        <w:t>1</w:t>
      </w:r>
      <w:r>
        <w:rPr>
          <w:rFonts w:ascii="Arial" w:hAnsi="Arial" w:cs="Arial"/>
          <w:sz w:val="21"/>
          <w:szCs w:val="21"/>
        </w:rPr>
        <w:t>和第</w:t>
      </w:r>
      <w:r>
        <w:rPr>
          <w:rFonts w:ascii="Arial" w:hAnsi="Arial" w:cs="Arial"/>
          <w:sz w:val="21"/>
          <w:szCs w:val="21"/>
        </w:rPr>
        <w:t>2</w:t>
      </w:r>
      <w:r>
        <w:rPr>
          <w:rFonts w:ascii="Arial" w:hAnsi="Arial" w:cs="Arial"/>
          <w:sz w:val="21"/>
          <w:szCs w:val="21"/>
        </w:rPr>
        <w:t>研究方向的资助额度各为</w:t>
      </w:r>
      <w:r>
        <w:rPr>
          <w:rFonts w:ascii="Arial" w:hAnsi="Arial" w:cs="Arial"/>
          <w:sz w:val="21"/>
          <w:szCs w:val="21"/>
        </w:rPr>
        <w:t>150</w:t>
      </w:r>
      <w:r>
        <w:rPr>
          <w:rFonts w:ascii="Arial" w:hAnsi="Arial" w:cs="Arial"/>
          <w:sz w:val="21"/>
          <w:szCs w:val="21"/>
        </w:rPr>
        <w:t>万元，第</w:t>
      </w:r>
      <w:r>
        <w:rPr>
          <w:rFonts w:ascii="Arial" w:hAnsi="Arial" w:cs="Arial"/>
          <w:sz w:val="21"/>
          <w:szCs w:val="21"/>
        </w:rPr>
        <w:t>3</w:t>
      </w:r>
      <w:r>
        <w:rPr>
          <w:rFonts w:ascii="Arial" w:hAnsi="Arial" w:cs="Arial"/>
          <w:sz w:val="21"/>
          <w:szCs w:val="21"/>
        </w:rPr>
        <w:t>至第</w:t>
      </w:r>
      <w:r>
        <w:rPr>
          <w:rFonts w:ascii="Arial" w:hAnsi="Arial" w:cs="Arial"/>
          <w:sz w:val="21"/>
          <w:szCs w:val="21"/>
        </w:rPr>
        <w:t>5</w:t>
      </w:r>
      <w:r>
        <w:rPr>
          <w:rFonts w:ascii="Arial" w:hAnsi="Arial" w:cs="Arial"/>
          <w:sz w:val="21"/>
          <w:szCs w:val="21"/>
        </w:rPr>
        <w:t>研究方向的资助额度各为</w:t>
      </w:r>
      <w:r>
        <w:rPr>
          <w:rFonts w:ascii="Arial" w:hAnsi="Arial" w:cs="Arial"/>
          <w:sz w:val="21"/>
          <w:szCs w:val="21"/>
        </w:rPr>
        <w:t>100</w:t>
      </w:r>
      <w:r>
        <w:rPr>
          <w:rFonts w:ascii="Arial" w:hAnsi="Arial" w:cs="Arial"/>
          <w:sz w:val="21"/>
          <w:szCs w:val="21"/>
        </w:rPr>
        <w:t>万元。</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软科学重点项目专题每项资助额度为</w:t>
      </w:r>
      <w:r>
        <w:rPr>
          <w:rFonts w:ascii="Arial" w:hAnsi="Arial" w:cs="Arial"/>
          <w:sz w:val="21"/>
          <w:szCs w:val="21"/>
        </w:rPr>
        <w:t>40</w:t>
      </w:r>
      <w:r>
        <w:rPr>
          <w:rFonts w:ascii="Arial" w:hAnsi="Arial" w:cs="Arial"/>
          <w:sz w:val="21"/>
          <w:szCs w:val="21"/>
        </w:rPr>
        <w:t>万元。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软科学面上项目（含面上青年博士启动项目）专题每项资助额度为</w:t>
      </w:r>
      <w:r>
        <w:rPr>
          <w:rFonts w:ascii="Arial" w:hAnsi="Arial" w:cs="Arial"/>
          <w:sz w:val="21"/>
          <w:szCs w:val="21"/>
        </w:rPr>
        <w:t>10</w:t>
      </w:r>
      <w:r>
        <w:rPr>
          <w:rFonts w:ascii="Arial" w:hAnsi="Arial" w:cs="Arial"/>
          <w:sz w:val="21"/>
          <w:szCs w:val="21"/>
        </w:rPr>
        <w:t>万元。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八、科技规划、创新管理研究与实践领域（专题三十二</w:t>
      </w:r>
      <w:r>
        <w:rPr>
          <w:rFonts w:ascii="Arial" w:hAnsi="Arial" w:cs="Arial"/>
          <w:sz w:val="21"/>
          <w:szCs w:val="21"/>
        </w:rPr>
        <w:t>—</w:t>
      </w:r>
      <w:r>
        <w:rPr>
          <w:rFonts w:ascii="Arial" w:hAnsi="Arial" w:cs="Arial"/>
          <w:sz w:val="21"/>
          <w:szCs w:val="21"/>
        </w:rPr>
        <w:t>专题三十五）</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聚焦实施创新驱动发展战略，围绕国家和广东省科技体制改革系列重要举措，重点加强科技发展战略、科技管理创新研究、产业技术路线图与技术预见，以及科技创新基础环境相关研究，为广东科技适应经济发展新常态、引领产业转型升级提供理论支撑和工作保障。</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联系人：赵劲松</w:t>
      </w:r>
      <w:r>
        <w:rPr>
          <w:rFonts w:ascii="Arial" w:hAnsi="Arial" w:cs="Arial"/>
          <w:sz w:val="21"/>
          <w:szCs w:val="21"/>
        </w:rPr>
        <w:br/>
      </w:r>
      <w:r>
        <w:rPr>
          <w:rFonts w:ascii="Arial" w:hAnsi="Arial" w:cs="Arial"/>
          <w:sz w:val="21"/>
          <w:szCs w:val="21"/>
        </w:rPr>
        <w:t xml:space="preserve">　　电</w:t>
      </w:r>
      <w:r>
        <w:rPr>
          <w:rFonts w:ascii="Arial" w:hAnsi="Arial" w:cs="Arial"/>
          <w:sz w:val="21"/>
          <w:szCs w:val="21"/>
        </w:rPr>
        <w:t xml:space="preserve"> </w:t>
      </w:r>
      <w:r>
        <w:rPr>
          <w:rFonts w:ascii="Arial" w:hAnsi="Arial" w:cs="Arial"/>
          <w:sz w:val="21"/>
          <w:szCs w:val="21"/>
        </w:rPr>
        <w:t>话：</w:t>
      </w:r>
      <w:r>
        <w:rPr>
          <w:rFonts w:ascii="Arial" w:hAnsi="Arial" w:cs="Arial"/>
          <w:sz w:val="21"/>
          <w:szCs w:val="21"/>
        </w:rPr>
        <w:t>020-83163832</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专题三十二：广东省科技发展战略研究（专题编号：</w:t>
      </w:r>
      <w:r>
        <w:rPr>
          <w:rFonts w:ascii="Arial" w:hAnsi="Arial" w:cs="Arial"/>
          <w:sz w:val="21"/>
          <w:szCs w:val="21"/>
        </w:rPr>
        <w:t>0801</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w:t>
      </w:r>
      <w:r>
        <w:rPr>
          <w:rFonts w:ascii="Arial" w:hAnsi="Arial" w:cs="Arial"/>
          <w:sz w:val="21"/>
          <w:szCs w:val="21"/>
        </w:rPr>
        <w:t xml:space="preserve"> </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适应广东科技和经济社会发展新常态，重点围绕广东创新驱动发展的战略谋划和系统布局，科技支撑广东经济中高速发展和提质增效、促进产业转型升级与经济发展，广东基础研究、社会民生与农业科技、科技服务业发展、区域协调均衡发展、科技体制改革与创新环境等方面开展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w:t>
      </w:r>
      <w:r>
        <w:rPr>
          <w:rFonts w:ascii="Arial" w:hAnsi="Arial" w:cs="Arial"/>
          <w:sz w:val="21"/>
          <w:szCs w:val="21"/>
        </w:rPr>
        <w:t xml:space="preserve"> </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项目研究应以贯彻落实创新驱动发展战略为主线，以满足我省经济社会发展重大科技需求和提升科技管理水平为研究导向，坚持方法创新，注重前瞻性、科学性与实用性。项目完成后须提供可供相关部门决策参考的阶段性研究报告、专题研究报告和研究总报告。</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w:t>
      </w:r>
      <w:r>
        <w:rPr>
          <w:rFonts w:ascii="Arial" w:hAnsi="Arial" w:cs="Arial"/>
          <w:sz w:val="21"/>
          <w:szCs w:val="21"/>
        </w:rPr>
        <w:t xml:space="preserve"> </w:t>
      </w:r>
      <w:r>
        <w:rPr>
          <w:rFonts w:ascii="Arial" w:hAnsi="Arial" w:cs="Arial"/>
          <w:sz w:val="21"/>
          <w:szCs w:val="21"/>
        </w:rPr>
        <w:t>申报要求。</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项目申报单位须具有科技战略研究和政策研究能力，能提供稳定的研究队伍和必要的资金、物质保障条件。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项目承担单位应具备雄厚的研究基础，熟悉广东科技发展情况，具有在广东省内从事市级以上科技规划发展、战略研究或政策研究的经验，研究成果曾被省级以上科技主管部门及政府相关部门采纳应用。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项目实施周期</w:t>
      </w:r>
      <w:r>
        <w:rPr>
          <w:rFonts w:ascii="Arial" w:hAnsi="Arial" w:cs="Arial"/>
          <w:sz w:val="21"/>
          <w:szCs w:val="21"/>
        </w:rPr>
        <w:t>1</w:t>
      </w:r>
      <w:r>
        <w:rPr>
          <w:rFonts w:ascii="Arial" w:hAnsi="Arial" w:cs="Arial"/>
          <w:sz w:val="21"/>
          <w:szCs w:val="21"/>
        </w:rPr>
        <w:t>～</w:t>
      </w:r>
      <w:r>
        <w:rPr>
          <w:rFonts w:ascii="Arial" w:hAnsi="Arial" w:cs="Arial"/>
          <w:sz w:val="21"/>
          <w:szCs w:val="21"/>
        </w:rPr>
        <w:t>2</w:t>
      </w:r>
      <w:r>
        <w:rPr>
          <w:rFonts w:ascii="Arial" w:hAnsi="Arial" w:cs="Arial"/>
          <w:sz w:val="21"/>
          <w:szCs w:val="21"/>
        </w:rPr>
        <w:t>年。</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w:t>
      </w:r>
      <w:r>
        <w:rPr>
          <w:rFonts w:ascii="Arial" w:hAnsi="Arial" w:cs="Arial"/>
          <w:sz w:val="21"/>
          <w:szCs w:val="21"/>
        </w:rPr>
        <w:t xml:space="preserve"> </w:t>
      </w:r>
      <w:r>
        <w:rPr>
          <w:rFonts w:ascii="Arial" w:hAnsi="Arial" w:cs="Arial"/>
          <w:sz w:val="21"/>
          <w:szCs w:val="21"/>
        </w:rPr>
        <w:t>支持强度。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每项申报和资助额度为</w:t>
      </w:r>
      <w:r>
        <w:rPr>
          <w:rFonts w:ascii="Arial" w:hAnsi="Arial" w:cs="Arial"/>
          <w:sz w:val="21"/>
          <w:szCs w:val="21"/>
        </w:rPr>
        <w:t>30</w:t>
      </w:r>
      <w:r>
        <w:rPr>
          <w:rFonts w:ascii="Arial" w:hAnsi="Arial" w:cs="Arial"/>
          <w:sz w:val="21"/>
          <w:szCs w:val="21"/>
        </w:rPr>
        <w:t>万元、</w:t>
      </w:r>
      <w:r>
        <w:rPr>
          <w:rFonts w:ascii="Arial" w:hAnsi="Arial" w:cs="Arial"/>
          <w:sz w:val="21"/>
          <w:szCs w:val="21"/>
        </w:rPr>
        <w:t>10</w:t>
      </w:r>
      <w:r>
        <w:rPr>
          <w:rFonts w:ascii="Arial" w:hAnsi="Arial" w:cs="Arial"/>
          <w:sz w:val="21"/>
          <w:szCs w:val="21"/>
        </w:rPr>
        <w:t>万元两个档次。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专题三十三：科技管理创新与应用（专题编号：</w:t>
      </w:r>
      <w:r>
        <w:rPr>
          <w:rFonts w:ascii="Arial" w:hAnsi="Arial" w:cs="Arial"/>
          <w:sz w:val="21"/>
          <w:szCs w:val="21"/>
        </w:rPr>
        <w:t>0802</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（一）</w:t>
      </w:r>
      <w:r>
        <w:rPr>
          <w:rFonts w:ascii="Arial" w:hAnsi="Arial" w:cs="Arial"/>
          <w:sz w:val="21"/>
          <w:szCs w:val="21"/>
        </w:rPr>
        <w:t xml:space="preserve"> </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组织开展科技项目管理研究。围绕国家和广东省对科技项目和资金管理改革的总体思路和具体举措，研究广东科技项目管理及科研经费管理制度建设，科研信用管理体系建设，科技项目评估评审方法与应用，科技项目评估评审标准化建设、科技档案管理机制与服务模式等，为构建广东新型科技计划管理模式，提高广东科技项目管理水平提供支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组织开展创新调查、</w:t>
      </w:r>
      <w:r>
        <w:rPr>
          <w:rFonts w:ascii="Arial" w:hAnsi="Arial" w:cs="Arial"/>
          <w:sz w:val="21"/>
          <w:szCs w:val="21"/>
        </w:rPr>
        <w:t>R&amp;D</w:t>
      </w:r>
      <w:r>
        <w:rPr>
          <w:rFonts w:ascii="Arial" w:hAnsi="Arial" w:cs="Arial"/>
          <w:sz w:val="21"/>
          <w:szCs w:val="21"/>
        </w:rPr>
        <w:t>投入评估、产业监测与科技报告、科技规划与政策绩效评估等应用体系研究。开展自主创新调查、</w:t>
      </w:r>
      <w:r>
        <w:rPr>
          <w:rFonts w:ascii="Arial" w:hAnsi="Arial" w:cs="Arial"/>
          <w:sz w:val="21"/>
          <w:szCs w:val="21"/>
        </w:rPr>
        <w:t>R&amp;D</w:t>
      </w:r>
      <w:r>
        <w:rPr>
          <w:rFonts w:ascii="Arial" w:hAnsi="Arial" w:cs="Arial"/>
          <w:sz w:val="21"/>
          <w:szCs w:val="21"/>
        </w:rPr>
        <w:t>投入评估与产业监测，并结合科技、产业与区域创新发展现状与趋势，</w:t>
      </w:r>
      <w:proofErr w:type="gramStart"/>
      <w:r>
        <w:rPr>
          <w:rFonts w:ascii="Arial" w:hAnsi="Arial" w:cs="Arial"/>
          <w:sz w:val="21"/>
          <w:szCs w:val="21"/>
        </w:rPr>
        <w:t>研判全省</w:t>
      </w:r>
      <w:proofErr w:type="gramEnd"/>
      <w:r>
        <w:rPr>
          <w:rFonts w:ascii="Arial" w:hAnsi="Arial" w:cs="Arial"/>
          <w:sz w:val="21"/>
          <w:szCs w:val="21"/>
        </w:rPr>
        <w:t>自主创新、科技和产业发展形势；开展科技统计服务体系建设研究，构建起广东科技统计服务网络体系和科技统计数据服务大平台，形成</w:t>
      </w:r>
      <w:r>
        <w:rPr>
          <w:rFonts w:ascii="Arial" w:hAnsi="Arial" w:cs="Arial"/>
          <w:sz w:val="21"/>
          <w:szCs w:val="21"/>
        </w:rPr>
        <w:t>“</w:t>
      </w:r>
      <w:r>
        <w:rPr>
          <w:rFonts w:ascii="Arial" w:hAnsi="Arial" w:cs="Arial"/>
          <w:sz w:val="21"/>
          <w:szCs w:val="21"/>
        </w:rPr>
        <w:t>省、市、县</w:t>
      </w:r>
      <w:r>
        <w:rPr>
          <w:rFonts w:ascii="Arial" w:hAnsi="Arial" w:cs="Arial"/>
          <w:sz w:val="21"/>
          <w:szCs w:val="21"/>
        </w:rPr>
        <w:t>”</w:t>
      </w:r>
      <w:r>
        <w:rPr>
          <w:rFonts w:ascii="Arial" w:hAnsi="Arial" w:cs="Arial"/>
          <w:sz w:val="21"/>
          <w:szCs w:val="21"/>
        </w:rPr>
        <w:t>三级科技统计调查数据直报机制和数据共享机制，</w:t>
      </w:r>
      <w:proofErr w:type="gramStart"/>
      <w:r>
        <w:rPr>
          <w:rFonts w:ascii="Arial" w:hAnsi="Arial" w:cs="Arial"/>
          <w:sz w:val="21"/>
          <w:szCs w:val="21"/>
        </w:rPr>
        <w:t>提升省</w:t>
      </w:r>
      <w:proofErr w:type="gramEnd"/>
      <w:r>
        <w:rPr>
          <w:rFonts w:ascii="Arial" w:hAnsi="Arial" w:cs="Arial"/>
          <w:sz w:val="21"/>
          <w:szCs w:val="21"/>
        </w:rPr>
        <w:t>市县科技统计服务管理决策的能力；开展科技报告制度研究，制定工作制度和共享服务机制，组织科技报告培训，为广东科技报告工作的稳定、持续和深入推进提供有力支撑。</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组织开展科技基础文献开发研究。编研科技创新发展史实和科技年鉴，建设科技史志年报年鉴等文字资料数据库，搭建文献智能文本信息数据分析利用平台。</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w:t>
      </w:r>
      <w:r>
        <w:rPr>
          <w:rFonts w:ascii="Arial" w:hAnsi="Arial" w:cs="Arial"/>
          <w:sz w:val="21"/>
          <w:szCs w:val="21"/>
        </w:rPr>
        <w:t xml:space="preserve"> </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通过科技计划项目管理、创新调查、产业监测、科研网络服务、科技基础文献等研究，促进改革科技创新管理的机制，创新管理模式，完善相关服务平台和体系。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w:t>
      </w:r>
      <w:r>
        <w:rPr>
          <w:rFonts w:ascii="Arial" w:hAnsi="Arial" w:cs="Arial"/>
          <w:sz w:val="21"/>
          <w:szCs w:val="21"/>
        </w:rPr>
        <w:t xml:space="preserve"> </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1. </w:t>
      </w:r>
      <w:r>
        <w:rPr>
          <w:rFonts w:ascii="Arial" w:hAnsi="Arial" w:cs="Arial"/>
          <w:sz w:val="21"/>
          <w:szCs w:val="21"/>
        </w:rPr>
        <w:t>项目申报单位应为省属科研机构，须具有与项目内容相应的理论知识和工作基础。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创新调查项目要求项目承担单位具备良好的科技统计调查与统计分析基础。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项目负责人应从事相关工作</w:t>
      </w:r>
      <w:r>
        <w:rPr>
          <w:rFonts w:ascii="Arial" w:hAnsi="Arial" w:cs="Arial"/>
          <w:sz w:val="21"/>
          <w:szCs w:val="21"/>
        </w:rPr>
        <w:t>3</w:t>
      </w:r>
      <w:r>
        <w:rPr>
          <w:rFonts w:ascii="Arial" w:hAnsi="Arial" w:cs="Arial"/>
          <w:sz w:val="21"/>
          <w:szCs w:val="21"/>
        </w:rPr>
        <w:t>年以上，具有中级以上职称或承担过省级科技计划项目的经验。</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w:t>
      </w:r>
      <w:r>
        <w:rPr>
          <w:rFonts w:ascii="Arial" w:hAnsi="Arial" w:cs="Arial"/>
          <w:sz w:val="21"/>
          <w:szCs w:val="21"/>
        </w:rPr>
        <w:t xml:space="preserve"> </w:t>
      </w:r>
      <w:r>
        <w:rPr>
          <w:rFonts w:ascii="Arial" w:hAnsi="Arial" w:cs="Arial"/>
          <w:sz w:val="21"/>
          <w:szCs w:val="21"/>
        </w:rPr>
        <w:t>支持强度。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每项申报和资助额度为</w:t>
      </w:r>
      <w:r>
        <w:rPr>
          <w:rFonts w:ascii="Arial" w:hAnsi="Arial" w:cs="Arial"/>
          <w:sz w:val="21"/>
          <w:szCs w:val="21"/>
        </w:rPr>
        <w:t>30</w:t>
      </w:r>
      <w:r>
        <w:rPr>
          <w:rFonts w:ascii="Arial" w:hAnsi="Arial" w:cs="Arial"/>
          <w:sz w:val="21"/>
          <w:szCs w:val="21"/>
        </w:rPr>
        <w:t>万元、</w:t>
      </w:r>
      <w:r>
        <w:rPr>
          <w:rFonts w:ascii="Arial" w:hAnsi="Arial" w:cs="Arial"/>
          <w:sz w:val="21"/>
          <w:szCs w:val="21"/>
        </w:rPr>
        <w:t>10</w:t>
      </w:r>
      <w:r>
        <w:rPr>
          <w:rFonts w:ascii="Arial" w:hAnsi="Arial" w:cs="Arial"/>
          <w:sz w:val="21"/>
          <w:szCs w:val="21"/>
        </w:rPr>
        <w:t>万元两个档次。</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专题三十四：产业技术路线图及技术预见（专题编号：</w:t>
      </w:r>
      <w:r>
        <w:rPr>
          <w:rFonts w:ascii="Arial" w:hAnsi="Arial" w:cs="Arial"/>
          <w:sz w:val="21"/>
          <w:szCs w:val="21"/>
        </w:rPr>
        <w:t>0803</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w:t>
      </w:r>
      <w:r>
        <w:rPr>
          <w:rFonts w:ascii="Arial" w:hAnsi="Arial" w:cs="Arial"/>
          <w:sz w:val="21"/>
          <w:szCs w:val="21"/>
        </w:rPr>
        <w:t xml:space="preserve"> </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1. </w:t>
      </w:r>
      <w:r>
        <w:rPr>
          <w:rFonts w:ascii="Arial" w:hAnsi="Arial" w:cs="Arial"/>
          <w:sz w:val="21"/>
          <w:szCs w:val="21"/>
        </w:rPr>
        <w:t>产业技术路线图的推广与应用。开展产业技术路线图在政府、企业、产业中的多层次推广应用研究。探索运用有效手段，加快产业技术路线图在政府、企业、产业园区、产业集群开展科技创新中的推广应用研究。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产业技术路线图编制。围绕省委、省政府确定的重大科技专项领域以及粤东西北地区重点发展领域，组织产业技术路线图编制研究及应用。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技术预见方法研究。开展技术预见推广应用方法、模式、机制等研究，探索建设推广应用信息平台；开展基于技术预见的科技规划与技术选择机制研究，运用技术预见方法，对未来广东应重点关注的产业、技术领域进行比较选择与科技战略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w:t>
      </w:r>
      <w:r>
        <w:rPr>
          <w:rFonts w:ascii="Arial" w:hAnsi="Arial" w:cs="Arial"/>
          <w:sz w:val="21"/>
          <w:szCs w:val="21"/>
        </w:rPr>
        <w:t xml:space="preserve"> </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完成若干重点领域产业技术路线图的编制与发布，形成一批技术预见研究成果，创新产业技术路线图的管理机制，优化管理模式，有力支撑科技管理与决策。</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w:t>
      </w:r>
      <w:r>
        <w:rPr>
          <w:rFonts w:ascii="Arial" w:hAnsi="Arial" w:cs="Arial"/>
          <w:sz w:val="21"/>
          <w:szCs w:val="21"/>
        </w:rPr>
        <w:t xml:space="preserve"> </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项目申报单位须具有与项目内容相应的理论知识和工作基础，具有较高的研究水平、组织能力。</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项目负责人应从事相关工作</w:t>
      </w:r>
      <w:r>
        <w:rPr>
          <w:rFonts w:ascii="Arial" w:hAnsi="Arial" w:cs="Arial"/>
          <w:sz w:val="21"/>
          <w:szCs w:val="21"/>
        </w:rPr>
        <w:t>3</w:t>
      </w:r>
      <w:r>
        <w:rPr>
          <w:rFonts w:ascii="Arial" w:hAnsi="Arial" w:cs="Arial"/>
          <w:sz w:val="21"/>
          <w:szCs w:val="21"/>
        </w:rPr>
        <w:t>年以上，具有中级以上职称或承担过省级科技计划项目，并具有产业技术路线图编制、技术预见研究经验。</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项目实施周期应</w:t>
      </w:r>
      <w:r>
        <w:rPr>
          <w:rFonts w:ascii="Arial" w:hAnsi="Arial" w:cs="Arial"/>
          <w:sz w:val="21"/>
          <w:szCs w:val="21"/>
        </w:rPr>
        <w:t>1</w:t>
      </w:r>
      <w:r>
        <w:rPr>
          <w:rFonts w:ascii="Arial" w:hAnsi="Arial" w:cs="Arial"/>
          <w:sz w:val="21"/>
          <w:szCs w:val="21"/>
        </w:rPr>
        <w:t>～</w:t>
      </w:r>
      <w:r>
        <w:rPr>
          <w:rFonts w:ascii="Arial" w:hAnsi="Arial" w:cs="Arial"/>
          <w:sz w:val="21"/>
          <w:szCs w:val="21"/>
        </w:rPr>
        <w:t>2</w:t>
      </w:r>
      <w:r>
        <w:rPr>
          <w:rFonts w:ascii="Arial" w:hAnsi="Arial" w:cs="Arial"/>
          <w:sz w:val="21"/>
          <w:szCs w:val="21"/>
        </w:rPr>
        <w:t>年。</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w:t>
      </w:r>
      <w:r>
        <w:rPr>
          <w:rFonts w:ascii="Arial" w:hAnsi="Arial" w:cs="Arial"/>
          <w:sz w:val="21"/>
          <w:szCs w:val="21"/>
        </w:rPr>
        <w:t xml:space="preserve"> </w:t>
      </w:r>
      <w:r>
        <w:rPr>
          <w:rFonts w:ascii="Arial" w:hAnsi="Arial" w:cs="Arial"/>
          <w:sz w:val="21"/>
          <w:szCs w:val="21"/>
        </w:rPr>
        <w:t>支持强度。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产业技术路线图的推广与应用研究项目申报和资助额度为</w:t>
      </w:r>
      <w:r>
        <w:rPr>
          <w:rFonts w:ascii="Arial" w:hAnsi="Arial" w:cs="Arial"/>
          <w:sz w:val="21"/>
          <w:szCs w:val="21"/>
        </w:rPr>
        <w:t>100</w:t>
      </w:r>
      <w:r>
        <w:rPr>
          <w:rFonts w:ascii="Arial" w:hAnsi="Arial" w:cs="Arial"/>
          <w:sz w:val="21"/>
          <w:szCs w:val="21"/>
        </w:rPr>
        <w:t>万元</w:t>
      </w:r>
      <w:r>
        <w:rPr>
          <w:rFonts w:ascii="Arial" w:hAnsi="Arial" w:cs="Arial"/>
          <w:sz w:val="21"/>
          <w:szCs w:val="21"/>
        </w:rPr>
        <w:t>/</w:t>
      </w:r>
      <w:r>
        <w:rPr>
          <w:rFonts w:ascii="Arial" w:hAnsi="Arial" w:cs="Arial"/>
          <w:sz w:val="21"/>
          <w:szCs w:val="21"/>
        </w:rPr>
        <w:t>项；产业技术路线图编制项目申报和资助额度为</w:t>
      </w:r>
      <w:r>
        <w:rPr>
          <w:rFonts w:ascii="Arial" w:hAnsi="Arial" w:cs="Arial"/>
          <w:sz w:val="21"/>
          <w:szCs w:val="21"/>
        </w:rPr>
        <w:t>50</w:t>
      </w:r>
      <w:r>
        <w:rPr>
          <w:rFonts w:ascii="Arial" w:hAnsi="Arial" w:cs="Arial"/>
          <w:sz w:val="21"/>
          <w:szCs w:val="21"/>
        </w:rPr>
        <w:t>万元</w:t>
      </w:r>
      <w:r>
        <w:rPr>
          <w:rFonts w:ascii="Arial" w:hAnsi="Arial" w:cs="Arial"/>
          <w:sz w:val="21"/>
          <w:szCs w:val="21"/>
        </w:rPr>
        <w:t>/</w:t>
      </w:r>
      <w:r>
        <w:rPr>
          <w:rFonts w:ascii="Arial" w:hAnsi="Arial" w:cs="Arial"/>
          <w:sz w:val="21"/>
          <w:szCs w:val="21"/>
        </w:rPr>
        <w:t>项；技术预见与产业技术路线图方法研究项目申报和资助额度为</w:t>
      </w:r>
      <w:r>
        <w:rPr>
          <w:rFonts w:ascii="Arial" w:hAnsi="Arial" w:cs="Arial"/>
          <w:sz w:val="21"/>
          <w:szCs w:val="21"/>
        </w:rPr>
        <w:t>10</w:t>
      </w:r>
      <w:r>
        <w:rPr>
          <w:rFonts w:ascii="Arial" w:hAnsi="Arial" w:cs="Arial"/>
          <w:sz w:val="21"/>
          <w:szCs w:val="21"/>
        </w:rPr>
        <w:t>万元</w:t>
      </w:r>
      <w:r>
        <w:rPr>
          <w:rFonts w:ascii="Arial" w:hAnsi="Arial" w:cs="Arial"/>
          <w:sz w:val="21"/>
          <w:szCs w:val="21"/>
        </w:rPr>
        <w:t>/</w:t>
      </w:r>
      <w:r>
        <w:rPr>
          <w:rFonts w:ascii="Arial" w:hAnsi="Arial" w:cs="Arial"/>
          <w:sz w:val="21"/>
          <w:szCs w:val="21"/>
        </w:rPr>
        <w:t>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专题三十五：科技创新基础环境相关研究（专题编号：</w:t>
      </w:r>
      <w:r>
        <w:rPr>
          <w:rFonts w:ascii="Arial" w:hAnsi="Arial" w:cs="Arial"/>
          <w:sz w:val="21"/>
          <w:szCs w:val="21"/>
        </w:rPr>
        <w:t>0804</w:t>
      </w:r>
      <w:r>
        <w:rPr>
          <w:rFonts w:ascii="Arial" w:hAnsi="Arial" w:cs="Arial"/>
          <w:sz w:val="21"/>
          <w:szCs w:val="21"/>
        </w:rPr>
        <w:t>）</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（一）</w:t>
      </w:r>
      <w:r>
        <w:rPr>
          <w:rFonts w:ascii="Arial" w:hAnsi="Arial" w:cs="Arial"/>
          <w:sz w:val="21"/>
          <w:szCs w:val="21"/>
        </w:rPr>
        <w:t xml:space="preserve"> </w:t>
      </w:r>
      <w:r>
        <w:rPr>
          <w:rFonts w:ascii="Arial" w:hAnsi="Arial" w:cs="Arial"/>
          <w:sz w:val="21"/>
          <w:szCs w:val="21"/>
        </w:rPr>
        <w:t>研究内容。</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组织开展创新资源网络建设与服务能力提升研究，提升科技基础条件平台公共服务能力和推广应用水平。推动科研院所及管理部门的信息化平台环境建设，促进科研信息资源的公开共享和增强网络安全。开展创新信息服务模式研究，打造科技创新服务平台和科技舆情监测平台，提高科研沟通、信息共享和启动应急预案的效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组织开展产学研协同创新体系建设研究，形成产学研协同创新长效机制和工作机制；开展产学研协同创新中的技术转移转化问题研究；推进省级产学研协同创新中心的建立，形成全省层面的产学研协同创新网络，推动重大技术突破，增强核心竞争力；开展产学研协同建设新型研发机构研究；</w:t>
      </w:r>
    </w:p>
    <w:p w:rsidR="00564070" w:rsidRDefault="00564070" w:rsidP="00564070">
      <w:pPr>
        <w:pStyle w:val="a6"/>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3.</w:t>
      </w:r>
      <w:r>
        <w:rPr>
          <w:rFonts w:ascii="Arial" w:hAnsi="Arial" w:cs="Arial"/>
          <w:sz w:val="21"/>
          <w:szCs w:val="21"/>
        </w:rPr>
        <w:t>组织开展专业镇产业体系研究，构建专业镇新型产业结构；开展珠三角、粤东西</w:t>
      </w:r>
      <w:proofErr w:type="gramStart"/>
      <w:r>
        <w:rPr>
          <w:rFonts w:ascii="Arial" w:hAnsi="Arial" w:cs="Arial"/>
          <w:sz w:val="21"/>
          <w:szCs w:val="21"/>
        </w:rPr>
        <w:t>北专业</w:t>
      </w:r>
      <w:proofErr w:type="gramEnd"/>
      <w:r>
        <w:rPr>
          <w:rFonts w:ascii="Arial" w:hAnsi="Arial" w:cs="Arial"/>
          <w:sz w:val="21"/>
          <w:szCs w:val="21"/>
        </w:rPr>
        <w:t>镇对接合作研究；围绕专业镇新型城镇化建设，开展专业镇</w:t>
      </w:r>
      <w:proofErr w:type="gramStart"/>
      <w:r>
        <w:rPr>
          <w:rFonts w:ascii="Arial" w:hAnsi="Arial" w:cs="Arial"/>
          <w:sz w:val="21"/>
          <w:szCs w:val="21"/>
        </w:rPr>
        <w:t>产城融合</w:t>
      </w:r>
      <w:proofErr w:type="gramEnd"/>
      <w:r>
        <w:rPr>
          <w:rFonts w:ascii="Arial" w:hAnsi="Arial" w:cs="Arial"/>
          <w:sz w:val="21"/>
          <w:szCs w:val="21"/>
        </w:rPr>
        <w:t>研究，建立产业政策与城镇化政策联动机制，完善专业镇科技创新服务体系。</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组织开展对外科技合作研究，开展国际技术转移、跨境创新合作中的模式与机制研究；组织广东重点领域国际创新资源网络平台建设，构建支撑平台的信息资源数据库，推动国际创新资源的共享与利用。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组织开展对外科技合作研究，构建对外科技合作评价指标体系，提出发展战略与对策建议；组织广东重点领域国际创新资源网络平台建设，构建支撑平台的信息资源数据库，推动国际创新资源的共享与利用；</w:t>
      </w:r>
      <w:proofErr w:type="gramStart"/>
      <w:r>
        <w:rPr>
          <w:rFonts w:ascii="Arial" w:hAnsi="Arial" w:cs="Arial"/>
          <w:sz w:val="21"/>
          <w:szCs w:val="21"/>
        </w:rPr>
        <w:t>开展泛珠三角</w:t>
      </w:r>
      <w:proofErr w:type="gramEnd"/>
      <w:r>
        <w:rPr>
          <w:rFonts w:ascii="Arial" w:hAnsi="Arial" w:cs="Arial"/>
          <w:sz w:val="21"/>
          <w:szCs w:val="21"/>
        </w:rPr>
        <w:t>及粤蒙、粤桂等区域合作实践活动。</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科技奖励与成果评价研究，借鉴国内外先进经验，探索更为符合省情、现状的科技奖励与成果评价工作机制，研究出台新的科技奖励与成果评价办法及其实施细则。</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7. </w:t>
      </w:r>
      <w:r>
        <w:rPr>
          <w:rFonts w:ascii="Arial" w:hAnsi="Arial" w:cs="Arial"/>
          <w:sz w:val="21"/>
          <w:szCs w:val="21"/>
        </w:rPr>
        <w:t>开展科技宣传与实践活动，组织科普宣传、技术培训、科技展示会、重大科技项目发布会、技术交易、科技下乡洽谈会等活动，展示广东科技综合实力和自主创新能力，激发全社会的创新意识</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（二）</w:t>
      </w:r>
      <w:r>
        <w:rPr>
          <w:rFonts w:ascii="Arial" w:hAnsi="Arial" w:cs="Arial"/>
          <w:sz w:val="21"/>
          <w:szCs w:val="21"/>
        </w:rPr>
        <w:t xml:space="preserve"> </w:t>
      </w:r>
      <w:r>
        <w:rPr>
          <w:rFonts w:ascii="Arial" w:hAnsi="Arial" w:cs="Arial"/>
          <w:sz w:val="21"/>
          <w:szCs w:val="21"/>
        </w:rPr>
        <w:t>研究目标。</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通过创新资源网络建设与服务、产学研协同创新、专业镇新型城镇化建设、对外科技合作、科技成果评价研究，提出改善科技创新的基础环境的政策建议和决策参考。</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（三）</w:t>
      </w:r>
      <w:r>
        <w:rPr>
          <w:rFonts w:ascii="Arial" w:hAnsi="Arial" w:cs="Arial"/>
          <w:sz w:val="21"/>
          <w:szCs w:val="21"/>
        </w:rPr>
        <w:t xml:space="preserve"> </w:t>
      </w:r>
      <w:r>
        <w:rPr>
          <w:rFonts w:ascii="Arial" w:hAnsi="Arial" w:cs="Arial"/>
          <w:sz w:val="21"/>
          <w:szCs w:val="21"/>
        </w:rPr>
        <w:t>申报要求。</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1. </w:t>
      </w:r>
      <w:r>
        <w:rPr>
          <w:rFonts w:ascii="Arial" w:hAnsi="Arial" w:cs="Arial"/>
          <w:sz w:val="21"/>
          <w:szCs w:val="21"/>
        </w:rPr>
        <w:t>项目申报单位须具有与项目内容相应的理论知识和工作基础。</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项目负责人应从事相关工作</w:t>
      </w:r>
      <w:r>
        <w:rPr>
          <w:rFonts w:ascii="Arial" w:hAnsi="Arial" w:cs="Arial"/>
          <w:sz w:val="21"/>
          <w:szCs w:val="21"/>
        </w:rPr>
        <w:t>3</w:t>
      </w:r>
      <w:r>
        <w:rPr>
          <w:rFonts w:ascii="Arial" w:hAnsi="Arial" w:cs="Arial"/>
          <w:sz w:val="21"/>
          <w:szCs w:val="21"/>
        </w:rPr>
        <w:t>年以上，具有中级以上职称或承担过省级科技计划项目的经验。</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项目实施周期</w:t>
      </w:r>
      <w:r>
        <w:rPr>
          <w:rFonts w:ascii="Arial" w:hAnsi="Arial" w:cs="Arial"/>
          <w:sz w:val="21"/>
          <w:szCs w:val="21"/>
        </w:rPr>
        <w:t>1</w:t>
      </w:r>
      <w:r>
        <w:rPr>
          <w:rFonts w:ascii="Arial" w:hAnsi="Arial" w:cs="Arial"/>
          <w:sz w:val="21"/>
          <w:szCs w:val="21"/>
        </w:rPr>
        <w:t>～</w:t>
      </w:r>
      <w:r>
        <w:rPr>
          <w:rFonts w:ascii="Arial" w:hAnsi="Arial" w:cs="Arial"/>
          <w:sz w:val="21"/>
          <w:szCs w:val="21"/>
        </w:rPr>
        <w:t>2</w:t>
      </w:r>
      <w:r>
        <w:rPr>
          <w:rFonts w:ascii="Arial" w:hAnsi="Arial" w:cs="Arial"/>
          <w:sz w:val="21"/>
          <w:szCs w:val="21"/>
        </w:rPr>
        <w:t>年。</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（四）</w:t>
      </w:r>
      <w:r>
        <w:rPr>
          <w:rFonts w:ascii="Arial" w:hAnsi="Arial" w:cs="Arial"/>
          <w:sz w:val="21"/>
          <w:szCs w:val="21"/>
        </w:rPr>
        <w:t xml:space="preserve"> </w:t>
      </w:r>
      <w:r>
        <w:rPr>
          <w:rFonts w:ascii="Arial" w:hAnsi="Arial" w:cs="Arial"/>
          <w:sz w:val="21"/>
          <w:szCs w:val="21"/>
        </w:rPr>
        <w:t>支持强度。</w:t>
      </w:r>
    </w:p>
    <w:p w:rsidR="00564070" w:rsidRDefault="00564070" w:rsidP="00564070">
      <w:pPr>
        <w:pStyle w:val="a6"/>
        <w:spacing w:line="330" w:lineRule="atLeast"/>
        <w:rPr>
          <w:rFonts w:ascii="Arial" w:hAnsi="Arial" w:cs="Arial"/>
          <w:sz w:val="21"/>
          <w:szCs w:val="21"/>
        </w:rPr>
      </w:pPr>
      <w:r>
        <w:rPr>
          <w:rFonts w:ascii="Arial" w:hAnsi="Arial" w:cs="Arial"/>
          <w:sz w:val="21"/>
          <w:szCs w:val="21"/>
        </w:rPr>
        <w:t xml:space="preserve">　　每项申报和资助额度为</w:t>
      </w:r>
      <w:r>
        <w:rPr>
          <w:rFonts w:ascii="Arial" w:hAnsi="Arial" w:cs="Arial"/>
          <w:sz w:val="21"/>
          <w:szCs w:val="21"/>
        </w:rPr>
        <w:t>30</w:t>
      </w:r>
      <w:r>
        <w:rPr>
          <w:rFonts w:ascii="Arial" w:hAnsi="Arial" w:cs="Arial"/>
          <w:sz w:val="21"/>
          <w:szCs w:val="21"/>
        </w:rPr>
        <w:t>万元、</w:t>
      </w:r>
      <w:r>
        <w:rPr>
          <w:rFonts w:ascii="Arial" w:hAnsi="Arial" w:cs="Arial"/>
          <w:sz w:val="21"/>
          <w:szCs w:val="21"/>
        </w:rPr>
        <w:t>50</w:t>
      </w:r>
      <w:r>
        <w:rPr>
          <w:rFonts w:ascii="Arial" w:hAnsi="Arial" w:cs="Arial"/>
          <w:sz w:val="21"/>
          <w:szCs w:val="21"/>
        </w:rPr>
        <w:t>万元两个档次。</w:t>
      </w:r>
    </w:p>
    <w:p w:rsidR="00564070" w:rsidRPr="00564070" w:rsidRDefault="00564070" w:rsidP="00564070">
      <w:pPr>
        <w:jc w:val="left"/>
      </w:pPr>
    </w:p>
    <w:sectPr w:rsidR="00564070" w:rsidRPr="005640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17" w:rsidRDefault="00A71C17" w:rsidP="00564070">
      <w:r>
        <w:separator/>
      </w:r>
    </w:p>
  </w:endnote>
  <w:endnote w:type="continuationSeparator" w:id="0">
    <w:p w:rsidR="00A71C17" w:rsidRDefault="00A71C17" w:rsidP="0056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70" w:rsidRDefault="005640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70" w:rsidRDefault="005640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70" w:rsidRDefault="005640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17" w:rsidRDefault="00A71C17" w:rsidP="00564070">
      <w:r>
        <w:separator/>
      </w:r>
    </w:p>
  </w:footnote>
  <w:footnote w:type="continuationSeparator" w:id="0">
    <w:p w:rsidR="00A71C17" w:rsidRDefault="00A71C17" w:rsidP="00564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70" w:rsidRDefault="005640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70" w:rsidRDefault="00564070" w:rsidP="0056407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70" w:rsidRDefault="005640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26"/>
    <w:rsid w:val="0000098E"/>
    <w:rsid w:val="00000B56"/>
    <w:rsid w:val="000016C5"/>
    <w:rsid w:val="000047F3"/>
    <w:rsid w:val="00005677"/>
    <w:rsid w:val="00005E09"/>
    <w:rsid w:val="00006E02"/>
    <w:rsid w:val="00010017"/>
    <w:rsid w:val="00014646"/>
    <w:rsid w:val="00015C49"/>
    <w:rsid w:val="000174B7"/>
    <w:rsid w:val="00017650"/>
    <w:rsid w:val="00017CD6"/>
    <w:rsid w:val="00020B58"/>
    <w:rsid w:val="00020F57"/>
    <w:rsid w:val="00021F9B"/>
    <w:rsid w:val="000243E5"/>
    <w:rsid w:val="00024880"/>
    <w:rsid w:val="00025DAC"/>
    <w:rsid w:val="00027298"/>
    <w:rsid w:val="00030020"/>
    <w:rsid w:val="000301E1"/>
    <w:rsid w:val="000310A8"/>
    <w:rsid w:val="0003261F"/>
    <w:rsid w:val="00032778"/>
    <w:rsid w:val="0003316F"/>
    <w:rsid w:val="00036AB2"/>
    <w:rsid w:val="00037CE0"/>
    <w:rsid w:val="00041E92"/>
    <w:rsid w:val="00043C68"/>
    <w:rsid w:val="00044198"/>
    <w:rsid w:val="0004432C"/>
    <w:rsid w:val="0004437D"/>
    <w:rsid w:val="00044D73"/>
    <w:rsid w:val="000461CB"/>
    <w:rsid w:val="000463F2"/>
    <w:rsid w:val="00046988"/>
    <w:rsid w:val="000474BA"/>
    <w:rsid w:val="00047A06"/>
    <w:rsid w:val="00050BEB"/>
    <w:rsid w:val="000512D8"/>
    <w:rsid w:val="00051EFD"/>
    <w:rsid w:val="0005220B"/>
    <w:rsid w:val="00052223"/>
    <w:rsid w:val="00052293"/>
    <w:rsid w:val="0005348D"/>
    <w:rsid w:val="0005476B"/>
    <w:rsid w:val="000553B1"/>
    <w:rsid w:val="00055C7F"/>
    <w:rsid w:val="00056A99"/>
    <w:rsid w:val="00057612"/>
    <w:rsid w:val="000614B0"/>
    <w:rsid w:val="00061B1C"/>
    <w:rsid w:val="000626F1"/>
    <w:rsid w:val="0006317F"/>
    <w:rsid w:val="000648F9"/>
    <w:rsid w:val="0007058D"/>
    <w:rsid w:val="0007087A"/>
    <w:rsid w:val="00070C52"/>
    <w:rsid w:val="00070E6D"/>
    <w:rsid w:val="0007285A"/>
    <w:rsid w:val="000729C3"/>
    <w:rsid w:val="00073AFD"/>
    <w:rsid w:val="000741CB"/>
    <w:rsid w:val="000764B0"/>
    <w:rsid w:val="00080A5E"/>
    <w:rsid w:val="00080A77"/>
    <w:rsid w:val="00080BC1"/>
    <w:rsid w:val="0008184F"/>
    <w:rsid w:val="00083A79"/>
    <w:rsid w:val="00084401"/>
    <w:rsid w:val="00084D93"/>
    <w:rsid w:val="000855A2"/>
    <w:rsid w:val="00087564"/>
    <w:rsid w:val="00090627"/>
    <w:rsid w:val="00092B2E"/>
    <w:rsid w:val="00093213"/>
    <w:rsid w:val="0009336A"/>
    <w:rsid w:val="000934BB"/>
    <w:rsid w:val="00093CB3"/>
    <w:rsid w:val="00093CDC"/>
    <w:rsid w:val="00094984"/>
    <w:rsid w:val="00094BFE"/>
    <w:rsid w:val="000954E5"/>
    <w:rsid w:val="000972C7"/>
    <w:rsid w:val="000A08D0"/>
    <w:rsid w:val="000A11AD"/>
    <w:rsid w:val="000A1D81"/>
    <w:rsid w:val="000A4A41"/>
    <w:rsid w:val="000A4BB6"/>
    <w:rsid w:val="000A5648"/>
    <w:rsid w:val="000A7305"/>
    <w:rsid w:val="000B0567"/>
    <w:rsid w:val="000B07EF"/>
    <w:rsid w:val="000B0E7F"/>
    <w:rsid w:val="000B1502"/>
    <w:rsid w:val="000B77A6"/>
    <w:rsid w:val="000C18B0"/>
    <w:rsid w:val="000C2205"/>
    <w:rsid w:val="000C3343"/>
    <w:rsid w:val="000C392D"/>
    <w:rsid w:val="000C5F74"/>
    <w:rsid w:val="000C751D"/>
    <w:rsid w:val="000D04C5"/>
    <w:rsid w:val="000D140D"/>
    <w:rsid w:val="000D1AE9"/>
    <w:rsid w:val="000D368A"/>
    <w:rsid w:val="000D3EA5"/>
    <w:rsid w:val="000D7495"/>
    <w:rsid w:val="000D774C"/>
    <w:rsid w:val="000E0EDD"/>
    <w:rsid w:val="000E10F0"/>
    <w:rsid w:val="000E2E62"/>
    <w:rsid w:val="000E555C"/>
    <w:rsid w:val="000E59FE"/>
    <w:rsid w:val="000E5DBD"/>
    <w:rsid w:val="000E68B7"/>
    <w:rsid w:val="000E78D3"/>
    <w:rsid w:val="000F08CE"/>
    <w:rsid w:val="000F1677"/>
    <w:rsid w:val="000F3427"/>
    <w:rsid w:val="000F598C"/>
    <w:rsid w:val="000F6B27"/>
    <w:rsid w:val="000F7439"/>
    <w:rsid w:val="00100A28"/>
    <w:rsid w:val="00100F27"/>
    <w:rsid w:val="00101B0B"/>
    <w:rsid w:val="00102F6F"/>
    <w:rsid w:val="001030A7"/>
    <w:rsid w:val="001049E2"/>
    <w:rsid w:val="00105980"/>
    <w:rsid w:val="00107DBD"/>
    <w:rsid w:val="001103B5"/>
    <w:rsid w:val="0011274A"/>
    <w:rsid w:val="00112A0F"/>
    <w:rsid w:val="00112A8E"/>
    <w:rsid w:val="00112B92"/>
    <w:rsid w:val="00112CEE"/>
    <w:rsid w:val="00117EFC"/>
    <w:rsid w:val="001216F1"/>
    <w:rsid w:val="00122295"/>
    <w:rsid w:val="001222A7"/>
    <w:rsid w:val="00122C00"/>
    <w:rsid w:val="00122C81"/>
    <w:rsid w:val="00122E77"/>
    <w:rsid w:val="00123777"/>
    <w:rsid w:val="0012517F"/>
    <w:rsid w:val="001264BC"/>
    <w:rsid w:val="001272A6"/>
    <w:rsid w:val="001307E5"/>
    <w:rsid w:val="00130808"/>
    <w:rsid w:val="001329FB"/>
    <w:rsid w:val="001358B5"/>
    <w:rsid w:val="00136018"/>
    <w:rsid w:val="0014016E"/>
    <w:rsid w:val="00140A71"/>
    <w:rsid w:val="001420D3"/>
    <w:rsid w:val="00143176"/>
    <w:rsid w:val="00150EDD"/>
    <w:rsid w:val="00151DE6"/>
    <w:rsid w:val="001547B2"/>
    <w:rsid w:val="00155D8F"/>
    <w:rsid w:val="0015608D"/>
    <w:rsid w:val="001567F0"/>
    <w:rsid w:val="00156FB8"/>
    <w:rsid w:val="00157741"/>
    <w:rsid w:val="00157CB9"/>
    <w:rsid w:val="00160F38"/>
    <w:rsid w:val="00161713"/>
    <w:rsid w:val="0016595B"/>
    <w:rsid w:val="00165EDA"/>
    <w:rsid w:val="001665E2"/>
    <w:rsid w:val="001673B0"/>
    <w:rsid w:val="00167E9E"/>
    <w:rsid w:val="001739CA"/>
    <w:rsid w:val="00173A0A"/>
    <w:rsid w:val="001759B7"/>
    <w:rsid w:val="001760C0"/>
    <w:rsid w:val="00177FF9"/>
    <w:rsid w:val="00180804"/>
    <w:rsid w:val="00181B57"/>
    <w:rsid w:val="00184057"/>
    <w:rsid w:val="00185447"/>
    <w:rsid w:val="001858EE"/>
    <w:rsid w:val="00191A09"/>
    <w:rsid w:val="00194441"/>
    <w:rsid w:val="00196E19"/>
    <w:rsid w:val="00197009"/>
    <w:rsid w:val="001977C2"/>
    <w:rsid w:val="00197836"/>
    <w:rsid w:val="00197C96"/>
    <w:rsid w:val="001A0C80"/>
    <w:rsid w:val="001A171E"/>
    <w:rsid w:val="001A20C0"/>
    <w:rsid w:val="001A3065"/>
    <w:rsid w:val="001A494B"/>
    <w:rsid w:val="001A4C5B"/>
    <w:rsid w:val="001A58D3"/>
    <w:rsid w:val="001A590F"/>
    <w:rsid w:val="001A595D"/>
    <w:rsid w:val="001A6AFA"/>
    <w:rsid w:val="001A761B"/>
    <w:rsid w:val="001B0A3F"/>
    <w:rsid w:val="001B1924"/>
    <w:rsid w:val="001B2787"/>
    <w:rsid w:val="001B3930"/>
    <w:rsid w:val="001B4925"/>
    <w:rsid w:val="001B5574"/>
    <w:rsid w:val="001B5924"/>
    <w:rsid w:val="001B7522"/>
    <w:rsid w:val="001C0E57"/>
    <w:rsid w:val="001C13C3"/>
    <w:rsid w:val="001C202C"/>
    <w:rsid w:val="001C4A9B"/>
    <w:rsid w:val="001C57F5"/>
    <w:rsid w:val="001C7FB5"/>
    <w:rsid w:val="001D0EA2"/>
    <w:rsid w:val="001D3EA8"/>
    <w:rsid w:val="001D4ACD"/>
    <w:rsid w:val="001D7267"/>
    <w:rsid w:val="001D7C78"/>
    <w:rsid w:val="001D7DAA"/>
    <w:rsid w:val="001E1043"/>
    <w:rsid w:val="001E11EC"/>
    <w:rsid w:val="001E212F"/>
    <w:rsid w:val="001E33CE"/>
    <w:rsid w:val="001E34A7"/>
    <w:rsid w:val="001E45DB"/>
    <w:rsid w:val="001E460C"/>
    <w:rsid w:val="001F140C"/>
    <w:rsid w:val="001F1C4A"/>
    <w:rsid w:val="001F27D3"/>
    <w:rsid w:val="001F2F79"/>
    <w:rsid w:val="001F3678"/>
    <w:rsid w:val="001F5275"/>
    <w:rsid w:val="001F5668"/>
    <w:rsid w:val="001F5F40"/>
    <w:rsid w:val="001F660F"/>
    <w:rsid w:val="001F7E0B"/>
    <w:rsid w:val="0020125A"/>
    <w:rsid w:val="0020180D"/>
    <w:rsid w:val="00201E5D"/>
    <w:rsid w:val="00202515"/>
    <w:rsid w:val="00203DF3"/>
    <w:rsid w:val="00205669"/>
    <w:rsid w:val="00206195"/>
    <w:rsid w:val="0021080D"/>
    <w:rsid w:val="0021189A"/>
    <w:rsid w:val="0021271D"/>
    <w:rsid w:val="00217C7E"/>
    <w:rsid w:val="00220621"/>
    <w:rsid w:val="00220A7F"/>
    <w:rsid w:val="002219CF"/>
    <w:rsid w:val="00223095"/>
    <w:rsid w:val="00224432"/>
    <w:rsid w:val="002248B7"/>
    <w:rsid w:val="00225685"/>
    <w:rsid w:val="00225E6C"/>
    <w:rsid w:val="002260D1"/>
    <w:rsid w:val="00227C7A"/>
    <w:rsid w:val="00230137"/>
    <w:rsid w:val="0023014D"/>
    <w:rsid w:val="00231C09"/>
    <w:rsid w:val="00232D64"/>
    <w:rsid w:val="002339F2"/>
    <w:rsid w:val="00233A18"/>
    <w:rsid w:val="00235074"/>
    <w:rsid w:val="00236BC8"/>
    <w:rsid w:val="002415D6"/>
    <w:rsid w:val="002426A7"/>
    <w:rsid w:val="00242A6D"/>
    <w:rsid w:val="00244AB9"/>
    <w:rsid w:val="00244D01"/>
    <w:rsid w:val="00245416"/>
    <w:rsid w:val="00245A54"/>
    <w:rsid w:val="002468DD"/>
    <w:rsid w:val="00246911"/>
    <w:rsid w:val="002522EC"/>
    <w:rsid w:val="00253863"/>
    <w:rsid w:val="00253BBE"/>
    <w:rsid w:val="00255F2A"/>
    <w:rsid w:val="00256104"/>
    <w:rsid w:val="002565B0"/>
    <w:rsid w:val="0025711E"/>
    <w:rsid w:val="0026208E"/>
    <w:rsid w:val="00262A33"/>
    <w:rsid w:val="00264544"/>
    <w:rsid w:val="0026749B"/>
    <w:rsid w:val="00271976"/>
    <w:rsid w:val="00271DC2"/>
    <w:rsid w:val="002746CE"/>
    <w:rsid w:val="00274757"/>
    <w:rsid w:val="00275CBC"/>
    <w:rsid w:val="00275CEB"/>
    <w:rsid w:val="00276142"/>
    <w:rsid w:val="0027718F"/>
    <w:rsid w:val="0028036D"/>
    <w:rsid w:val="002820DF"/>
    <w:rsid w:val="0028212F"/>
    <w:rsid w:val="002826CE"/>
    <w:rsid w:val="00284E95"/>
    <w:rsid w:val="00285BED"/>
    <w:rsid w:val="002870D1"/>
    <w:rsid w:val="00293F79"/>
    <w:rsid w:val="002952E3"/>
    <w:rsid w:val="00295572"/>
    <w:rsid w:val="002966EC"/>
    <w:rsid w:val="002A0B2B"/>
    <w:rsid w:val="002A10C8"/>
    <w:rsid w:val="002A3252"/>
    <w:rsid w:val="002A395A"/>
    <w:rsid w:val="002A4F8C"/>
    <w:rsid w:val="002A54A0"/>
    <w:rsid w:val="002A60D4"/>
    <w:rsid w:val="002A6DD1"/>
    <w:rsid w:val="002A7475"/>
    <w:rsid w:val="002A7BD2"/>
    <w:rsid w:val="002B062F"/>
    <w:rsid w:val="002B0CE7"/>
    <w:rsid w:val="002B2991"/>
    <w:rsid w:val="002B2BEC"/>
    <w:rsid w:val="002B5882"/>
    <w:rsid w:val="002C0E71"/>
    <w:rsid w:val="002C1662"/>
    <w:rsid w:val="002C2FC2"/>
    <w:rsid w:val="002C4A10"/>
    <w:rsid w:val="002C50C4"/>
    <w:rsid w:val="002C5198"/>
    <w:rsid w:val="002C6763"/>
    <w:rsid w:val="002C6CFF"/>
    <w:rsid w:val="002C796D"/>
    <w:rsid w:val="002D1E1B"/>
    <w:rsid w:val="002D2429"/>
    <w:rsid w:val="002D258C"/>
    <w:rsid w:val="002D3144"/>
    <w:rsid w:val="002D5114"/>
    <w:rsid w:val="002D54ED"/>
    <w:rsid w:val="002D61D4"/>
    <w:rsid w:val="002D67B7"/>
    <w:rsid w:val="002E0ED7"/>
    <w:rsid w:val="002E1FFC"/>
    <w:rsid w:val="002E22D9"/>
    <w:rsid w:val="002E2778"/>
    <w:rsid w:val="002E412D"/>
    <w:rsid w:val="002E492A"/>
    <w:rsid w:val="002E69BF"/>
    <w:rsid w:val="002E72F3"/>
    <w:rsid w:val="002F03AC"/>
    <w:rsid w:val="002F2A90"/>
    <w:rsid w:val="002F36BF"/>
    <w:rsid w:val="002F470B"/>
    <w:rsid w:val="002F5069"/>
    <w:rsid w:val="002F6EC8"/>
    <w:rsid w:val="003023F0"/>
    <w:rsid w:val="00303139"/>
    <w:rsid w:val="00303585"/>
    <w:rsid w:val="003037D5"/>
    <w:rsid w:val="00303C3D"/>
    <w:rsid w:val="00311B62"/>
    <w:rsid w:val="00311D80"/>
    <w:rsid w:val="00312B4B"/>
    <w:rsid w:val="003133DF"/>
    <w:rsid w:val="00313ED1"/>
    <w:rsid w:val="00315825"/>
    <w:rsid w:val="0031585F"/>
    <w:rsid w:val="00315AD0"/>
    <w:rsid w:val="00316754"/>
    <w:rsid w:val="0032136E"/>
    <w:rsid w:val="00324855"/>
    <w:rsid w:val="00325CBC"/>
    <w:rsid w:val="00326EF3"/>
    <w:rsid w:val="00327653"/>
    <w:rsid w:val="00330749"/>
    <w:rsid w:val="00331CB6"/>
    <w:rsid w:val="00333865"/>
    <w:rsid w:val="00333C99"/>
    <w:rsid w:val="003347EE"/>
    <w:rsid w:val="0033545F"/>
    <w:rsid w:val="00335992"/>
    <w:rsid w:val="0033677E"/>
    <w:rsid w:val="00336813"/>
    <w:rsid w:val="003400E4"/>
    <w:rsid w:val="00340256"/>
    <w:rsid w:val="00340B93"/>
    <w:rsid w:val="00343E06"/>
    <w:rsid w:val="00344024"/>
    <w:rsid w:val="003441A0"/>
    <w:rsid w:val="00344C8A"/>
    <w:rsid w:val="00346C37"/>
    <w:rsid w:val="003507E6"/>
    <w:rsid w:val="003548D7"/>
    <w:rsid w:val="00354C42"/>
    <w:rsid w:val="00356CA4"/>
    <w:rsid w:val="00356CD8"/>
    <w:rsid w:val="0035710D"/>
    <w:rsid w:val="00357A5E"/>
    <w:rsid w:val="00360300"/>
    <w:rsid w:val="0036350F"/>
    <w:rsid w:val="00363883"/>
    <w:rsid w:val="00363F29"/>
    <w:rsid w:val="00364F09"/>
    <w:rsid w:val="00365EBE"/>
    <w:rsid w:val="00371304"/>
    <w:rsid w:val="0037330A"/>
    <w:rsid w:val="00373A1B"/>
    <w:rsid w:val="00373F9A"/>
    <w:rsid w:val="00376798"/>
    <w:rsid w:val="00377834"/>
    <w:rsid w:val="00380A9F"/>
    <w:rsid w:val="00380B07"/>
    <w:rsid w:val="0038229F"/>
    <w:rsid w:val="003828FC"/>
    <w:rsid w:val="00382BAD"/>
    <w:rsid w:val="0038505A"/>
    <w:rsid w:val="00385742"/>
    <w:rsid w:val="00385E1A"/>
    <w:rsid w:val="0038705A"/>
    <w:rsid w:val="0039456B"/>
    <w:rsid w:val="00395500"/>
    <w:rsid w:val="003967C2"/>
    <w:rsid w:val="003A0254"/>
    <w:rsid w:val="003A13A2"/>
    <w:rsid w:val="003A152F"/>
    <w:rsid w:val="003A1F73"/>
    <w:rsid w:val="003A2127"/>
    <w:rsid w:val="003A21E5"/>
    <w:rsid w:val="003A4B0E"/>
    <w:rsid w:val="003A5727"/>
    <w:rsid w:val="003A6812"/>
    <w:rsid w:val="003A6C5A"/>
    <w:rsid w:val="003B1BFB"/>
    <w:rsid w:val="003B2177"/>
    <w:rsid w:val="003B7B2D"/>
    <w:rsid w:val="003C07B2"/>
    <w:rsid w:val="003C08BD"/>
    <w:rsid w:val="003C281A"/>
    <w:rsid w:val="003C3A25"/>
    <w:rsid w:val="003C4CD8"/>
    <w:rsid w:val="003C50B1"/>
    <w:rsid w:val="003C5473"/>
    <w:rsid w:val="003C7BAB"/>
    <w:rsid w:val="003D0176"/>
    <w:rsid w:val="003D0323"/>
    <w:rsid w:val="003D0CD1"/>
    <w:rsid w:val="003D51A3"/>
    <w:rsid w:val="003D526F"/>
    <w:rsid w:val="003D6C8B"/>
    <w:rsid w:val="003D7F7C"/>
    <w:rsid w:val="003E05CB"/>
    <w:rsid w:val="003E40FA"/>
    <w:rsid w:val="003E4B19"/>
    <w:rsid w:val="003E6191"/>
    <w:rsid w:val="003E62E3"/>
    <w:rsid w:val="003E6EF2"/>
    <w:rsid w:val="003E78DD"/>
    <w:rsid w:val="003F3EE5"/>
    <w:rsid w:val="003F42A0"/>
    <w:rsid w:val="003F4EFA"/>
    <w:rsid w:val="003F57CA"/>
    <w:rsid w:val="003F7833"/>
    <w:rsid w:val="00400BCD"/>
    <w:rsid w:val="004014EF"/>
    <w:rsid w:val="00402E62"/>
    <w:rsid w:val="0040501C"/>
    <w:rsid w:val="00405D54"/>
    <w:rsid w:val="00406D91"/>
    <w:rsid w:val="0041198B"/>
    <w:rsid w:val="00412070"/>
    <w:rsid w:val="00412C7B"/>
    <w:rsid w:val="00412FEE"/>
    <w:rsid w:val="00414868"/>
    <w:rsid w:val="00414999"/>
    <w:rsid w:val="00416F27"/>
    <w:rsid w:val="004222E1"/>
    <w:rsid w:val="00422D2E"/>
    <w:rsid w:val="00422D40"/>
    <w:rsid w:val="00422E70"/>
    <w:rsid w:val="004234ED"/>
    <w:rsid w:val="00425835"/>
    <w:rsid w:val="00430B8B"/>
    <w:rsid w:val="004335CB"/>
    <w:rsid w:val="0043421C"/>
    <w:rsid w:val="00434D77"/>
    <w:rsid w:val="004360A0"/>
    <w:rsid w:val="00436650"/>
    <w:rsid w:val="00437D0E"/>
    <w:rsid w:val="00440E91"/>
    <w:rsid w:val="0044169A"/>
    <w:rsid w:val="00442B52"/>
    <w:rsid w:val="00442FEB"/>
    <w:rsid w:val="00445CB0"/>
    <w:rsid w:val="0044707D"/>
    <w:rsid w:val="00447ABB"/>
    <w:rsid w:val="00451CC0"/>
    <w:rsid w:val="00452A93"/>
    <w:rsid w:val="00452DDF"/>
    <w:rsid w:val="004551B4"/>
    <w:rsid w:val="00455CF7"/>
    <w:rsid w:val="00455FD6"/>
    <w:rsid w:val="00456F65"/>
    <w:rsid w:val="004601E9"/>
    <w:rsid w:val="00460644"/>
    <w:rsid w:val="00461AA4"/>
    <w:rsid w:val="00462CE7"/>
    <w:rsid w:val="00462FEC"/>
    <w:rsid w:val="004630C5"/>
    <w:rsid w:val="004631BD"/>
    <w:rsid w:val="00464626"/>
    <w:rsid w:val="00464A70"/>
    <w:rsid w:val="00465582"/>
    <w:rsid w:val="00465EF6"/>
    <w:rsid w:val="00465F8A"/>
    <w:rsid w:val="00466B45"/>
    <w:rsid w:val="00466F4B"/>
    <w:rsid w:val="00467BA1"/>
    <w:rsid w:val="0047023E"/>
    <w:rsid w:val="00471428"/>
    <w:rsid w:val="0047212B"/>
    <w:rsid w:val="00472526"/>
    <w:rsid w:val="004734C6"/>
    <w:rsid w:val="00473507"/>
    <w:rsid w:val="00473CBE"/>
    <w:rsid w:val="00476834"/>
    <w:rsid w:val="00480581"/>
    <w:rsid w:val="00480A06"/>
    <w:rsid w:val="00480A93"/>
    <w:rsid w:val="00481BC5"/>
    <w:rsid w:val="00484BDE"/>
    <w:rsid w:val="00485F2C"/>
    <w:rsid w:val="00485FAE"/>
    <w:rsid w:val="004871F8"/>
    <w:rsid w:val="00490187"/>
    <w:rsid w:val="004919BE"/>
    <w:rsid w:val="00491C99"/>
    <w:rsid w:val="00492538"/>
    <w:rsid w:val="00493B30"/>
    <w:rsid w:val="00493E47"/>
    <w:rsid w:val="00494325"/>
    <w:rsid w:val="00495FEE"/>
    <w:rsid w:val="00497E1F"/>
    <w:rsid w:val="004A0F2A"/>
    <w:rsid w:val="004A1AB2"/>
    <w:rsid w:val="004A3516"/>
    <w:rsid w:val="004A3D5F"/>
    <w:rsid w:val="004A452D"/>
    <w:rsid w:val="004A4CFD"/>
    <w:rsid w:val="004B0B27"/>
    <w:rsid w:val="004B0CD7"/>
    <w:rsid w:val="004B14F0"/>
    <w:rsid w:val="004B1903"/>
    <w:rsid w:val="004B2CBA"/>
    <w:rsid w:val="004B3BBE"/>
    <w:rsid w:val="004B43D4"/>
    <w:rsid w:val="004B5D6A"/>
    <w:rsid w:val="004B7074"/>
    <w:rsid w:val="004C006E"/>
    <w:rsid w:val="004C2C51"/>
    <w:rsid w:val="004C2D81"/>
    <w:rsid w:val="004C33E0"/>
    <w:rsid w:val="004C54D7"/>
    <w:rsid w:val="004C5C62"/>
    <w:rsid w:val="004C5FC3"/>
    <w:rsid w:val="004C67DC"/>
    <w:rsid w:val="004C70B1"/>
    <w:rsid w:val="004D0210"/>
    <w:rsid w:val="004D17CF"/>
    <w:rsid w:val="004D1847"/>
    <w:rsid w:val="004D25E0"/>
    <w:rsid w:val="004D2EE5"/>
    <w:rsid w:val="004D6D0A"/>
    <w:rsid w:val="004D7BDC"/>
    <w:rsid w:val="004D7D1D"/>
    <w:rsid w:val="004E12C6"/>
    <w:rsid w:val="004E2315"/>
    <w:rsid w:val="004E2BAC"/>
    <w:rsid w:val="004E373F"/>
    <w:rsid w:val="004E4D11"/>
    <w:rsid w:val="004E5698"/>
    <w:rsid w:val="004E66D6"/>
    <w:rsid w:val="004F2AFE"/>
    <w:rsid w:val="004F3BAF"/>
    <w:rsid w:val="004F4D22"/>
    <w:rsid w:val="004F7B59"/>
    <w:rsid w:val="00500819"/>
    <w:rsid w:val="005014A1"/>
    <w:rsid w:val="005059BD"/>
    <w:rsid w:val="00507709"/>
    <w:rsid w:val="005109A6"/>
    <w:rsid w:val="00511C5D"/>
    <w:rsid w:val="00512B2B"/>
    <w:rsid w:val="005143F3"/>
    <w:rsid w:val="0051461F"/>
    <w:rsid w:val="005153EE"/>
    <w:rsid w:val="00515771"/>
    <w:rsid w:val="005163B1"/>
    <w:rsid w:val="00516570"/>
    <w:rsid w:val="00517EE1"/>
    <w:rsid w:val="00522777"/>
    <w:rsid w:val="005240FB"/>
    <w:rsid w:val="0052411D"/>
    <w:rsid w:val="00524BAF"/>
    <w:rsid w:val="00525E9A"/>
    <w:rsid w:val="005276FB"/>
    <w:rsid w:val="00531DF7"/>
    <w:rsid w:val="00532577"/>
    <w:rsid w:val="00532727"/>
    <w:rsid w:val="00532F93"/>
    <w:rsid w:val="0053326E"/>
    <w:rsid w:val="00542813"/>
    <w:rsid w:val="00542BD9"/>
    <w:rsid w:val="00542D0D"/>
    <w:rsid w:val="005476E7"/>
    <w:rsid w:val="00550110"/>
    <w:rsid w:val="00550C83"/>
    <w:rsid w:val="00551344"/>
    <w:rsid w:val="0055264B"/>
    <w:rsid w:val="005547DC"/>
    <w:rsid w:val="005573FB"/>
    <w:rsid w:val="005605C8"/>
    <w:rsid w:val="005611E9"/>
    <w:rsid w:val="005625FB"/>
    <w:rsid w:val="005633AE"/>
    <w:rsid w:val="005634C5"/>
    <w:rsid w:val="00564070"/>
    <w:rsid w:val="005646A4"/>
    <w:rsid w:val="00565796"/>
    <w:rsid w:val="00566F7B"/>
    <w:rsid w:val="00567CCB"/>
    <w:rsid w:val="00567E7E"/>
    <w:rsid w:val="005705E1"/>
    <w:rsid w:val="00570FE6"/>
    <w:rsid w:val="00571526"/>
    <w:rsid w:val="00571698"/>
    <w:rsid w:val="00571EF7"/>
    <w:rsid w:val="00571FE1"/>
    <w:rsid w:val="0057276A"/>
    <w:rsid w:val="00572A1D"/>
    <w:rsid w:val="00573188"/>
    <w:rsid w:val="00576964"/>
    <w:rsid w:val="00576C30"/>
    <w:rsid w:val="00577DBA"/>
    <w:rsid w:val="00577E2B"/>
    <w:rsid w:val="0058176E"/>
    <w:rsid w:val="00581C6E"/>
    <w:rsid w:val="00581D2D"/>
    <w:rsid w:val="00582DB1"/>
    <w:rsid w:val="005847EC"/>
    <w:rsid w:val="0058541E"/>
    <w:rsid w:val="00585B39"/>
    <w:rsid w:val="00586E5C"/>
    <w:rsid w:val="00587F29"/>
    <w:rsid w:val="00593B12"/>
    <w:rsid w:val="00594D54"/>
    <w:rsid w:val="00597884"/>
    <w:rsid w:val="005A1012"/>
    <w:rsid w:val="005A2B25"/>
    <w:rsid w:val="005A3698"/>
    <w:rsid w:val="005A3F17"/>
    <w:rsid w:val="005A42F1"/>
    <w:rsid w:val="005A4609"/>
    <w:rsid w:val="005A4F01"/>
    <w:rsid w:val="005A55ED"/>
    <w:rsid w:val="005A6403"/>
    <w:rsid w:val="005A7530"/>
    <w:rsid w:val="005B13A1"/>
    <w:rsid w:val="005B1ACB"/>
    <w:rsid w:val="005B2936"/>
    <w:rsid w:val="005B3A6C"/>
    <w:rsid w:val="005B467D"/>
    <w:rsid w:val="005B4CBC"/>
    <w:rsid w:val="005B52F4"/>
    <w:rsid w:val="005B5823"/>
    <w:rsid w:val="005B5DB2"/>
    <w:rsid w:val="005C1737"/>
    <w:rsid w:val="005C1894"/>
    <w:rsid w:val="005C26A3"/>
    <w:rsid w:val="005C2FEE"/>
    <w:rsid w:val="005C38BB"/>
    <w:rsid w:val="005C4568"/>
    <w:rsid w:val="005C46BD"/>
    <w:rsid w:val="005C57BD"/>
    <w:rsid w:val="005C7827"/>
    <w:rsid w:val="005D1995"/>
    <w:rsid w:val="005D1B8D"/>
    <w:rsid w:val="005D3A90"/>
    <w:rsid w:val="005D3D49"/>
    <w:rsid w:val="005D49E7"/>
    <w:rsid w:val="005D53C8"/>
    <w:rsid w:val="005D5AC0"/>
    <w:rsid w:val="005D635D"/>
    <w:rsid w:val="005D710F"/>
    <w:rsid w:val="005E1BE1"/>
    <w:rsid w:val="005E2AB4"/>
    <w:rsid w:val="005E3DC7"/>
    <w:rsid w:val="005E5625"/>
    <w:rsid w:val="005E6DD5"/>
    <w:rsid w:val="005E798E"/>
    <w:rsid w:val="005F166B"/>
    <w:rsid w:val="005F287A"/>
    <w:rsid w:val="005F34FE"/>
    <w:rsid w:val="005F3C13"/>
    <w:rsid w:val="005F5274"/>
    <w:rsid w:val="005F5BD7"/>
    <w:rsid w:val="005F6A75"/>
    <w:rsid w:val="005F6AD9"/>
    <w:rsid w:val="005F6DBD"/>
    <w:rsid w:val="005F7415"/>
    <w:rsid w:val="00602712"/>
    <w:rsid w:val="0060382D"/>
    <w:rsid w:val="00604D14"/>
    <w:rsid w:val="006073EB"/>
    <w:rsid w:val="00607DAA"/>
    <w:rsid w:val="006101A7"/>
    <w:rsid w:val="006101FD"/>
    <w:rsid w:val="00611968"/>
    <w:rsid w:val="0061270F"/>
    <w:rsid w:val="006128A1"/>
    <w:rsid w:val="00613100"/>
    <w:rsid w:val="00613DC2"/>
    <w:rsid w:val="00614A87"/>
    <w:rsid w:val="006155E5"/>
    <w:rsid w:val="006155EC"/>
    <w:rsid w:val="00617096"/>
    <w:rsid w:val="00617447"/>
    <w:rsid w:val="00620351"/>
    <w:rsid w:val="00620AFB"/>
    <w:rsid w:val="006212E7"/>
    <w:rsid w:val="006225E6"/>
    <w:rsid w:val="0062375E"/>
    <w:rsid w:val="00625553"/>
    <w:rsid w:val="00625980"/>
    <w:rsid w:val="00625B8A"/>
    <w:rsid w:val="00625DB9"/>
    <w:rsid w:val="00627541"/>
    <w:rsid w:val="006302C4"/>
    <w:rsid w:val="0063154D"/>
    <w:rsid w:val="00632179"/>
    <w:rsid w:val="00633686"/>
    <w:rsid w:val="006350DD"/>
    <w:rsid w:val="00635160"/>
    <w:rsid w:val="0063782B"/>
    <w:rsid w:val="00640824"/>
    <w:rsid w:val="00643E0F"/>
    <w:rsid w:val="0064473F"/>
    <w:rsid w:val="0064588F"/>
    <w:rsid w:val="0064600E"/>
    <w:rsid w:val="0064637B"/>
    <w:rsid w:val="0064740E"/>
    <w:rsid w:val="0065106C"/>
    <w:rsid w:val="00651801"/>
    <w:rsid w:val="00651B71"/>
    <w:rsid w:val="00651F00"/>
    <w:rsid w:val="00653811"/>
    <w:rsid w:val="00653A1B"/>
    <w:rsid w:val="00653FCE"/>
    <w:rsid w:val="00654E07"/>
    <w:rsid w:val="00654E76"/>
    <w:rsid w:val="00655491"/>
    <w:rsid w:val="0065677E"/>
    <w:rsid w:val="00660806"/>
    <w:rsid w:val="00661A36"/>
    <w:rsid w:val="00662866"/>
    <w:rsid w:val="00662F99"/>
    <w:rsid w:val="0066381B"/>
    <w:rsid w:val="00663890"/>
    <w:rsid w:val="00664535"/>
    <w:rsid w:val="00664C30"/>
    <w:rsid w:val="00666673"/>
    <w:rsid w:val="00671E91"/>
    <w:rsid w:val="00672E04"/>
    <w:rsid w:val="00674364"/>
    <w:rsid w:val="00674410"/>
    <w:rsid w:val="006744BB"/>
    <w:rsid w:val="0067458F"/>
    <w:rsid w:val="006770A0"/>
    <w:rsid w:val="00677250"/>
    <w:rsid w:val="0067754C"/>
    <w:rsid w:val="006816C3"/>
    <w:rsid w:val="006829C1"/>
    <w:rsid w:val="00683248"/>
    <w:rsid w:val="00685D45"/>
    <w:rsid w:val="00686600"/>
    <w:rsid w:val="006869CF"/>
    <w:rsid w:val="00686EF2"/>
    <w:rsid w:val="00687D3F"/>
    <w:rsid w:val="00687DB1"/>
    <w:rsid w:val="0069133A"/>
    <w:rsid w:val="006918FA"/>
    <w:rsid w:val="00692B21"/>
    <w:rsid w:val="006949A3"/>
    <w:rsid w:val="006949FA"/>
    <w:rsid w:val="00695879"/>
    <w:rsid w:val="006958F8"/>
    <w:rsid w:val="00696030"/>
    <w:rsid w:val="00696D34"/>
    <w:rsid w:val="00696E20"/>
    <w:rsid w:val="00697CB8"/>
    <w:rsid w:val="00697FDE"/>
    <w:rsid w:val="006A012A"/>
    <w:rsid w:val="006A042A"/>
    <w:rsid w:val="006A066B"/>
    <w:rsid w:val="006A0E53"/>
    <w:rsid w:val="006A1744"/>
    <w:rsid w:val="006A2EB5"/>
    <w:rsid w:val="006A38E2"/>
    <w:rsid w:val="006A4AAB"/>
    <w:rsid w:val="006A4CDA"/>
    <w:rsid w:val="006A5913"/>
    <w:rsid w:val="006A694C"/>
    <w:rsid w:val="006A7807"/>
    <w:rsid w:val="006B0623"/>
    <w:rsid w:val="006B1EE2"/>
    <w:rsid w:val="006B20A8"/>
    <w:rsid w:val="006B231F"/>
    <w:rsid w:val="006B3B2C"/>
    <w:rsid w:val="006B462D"/>
    <w:rsid w:val="006B466F"/>
    <w:rsid w:val="006C1586"/>
    <w:rsid w:val="006C1D35"/>
    <w:rsid w:val="006C3CC3"/>
    <w:rsid w:val="006C410D"/>
    <w:rsid w:val="006C4301"/>
    <w:rsid w:val="006C64C9"/>
    <w:rsid w:val="006C6E9D"/>
    <w:rsid w:val="006C74A2"/>
    <w:rsid w:val="006C7970"/>
    <w:rsid w:val="006C7DB8"/>
    <w:rsid w:val="006D04E0"/>
    <w:rsid w:val="006D06D2"/>
    <w:rsid w:val="006D1F1E"/>
    <w:rsid w:val="006D2413"/>
    <w:rsid w:val="006D2BBD"/>
    <w:rsid w:val="006D3346"/>
    <w:rsid w:val="006D3ADB"/>
    <w:rsid w:val="006D495F"/>
    <w:rsid w:val="006D632B"/>
    <w:rsid w:val="006D75D7"/>
    <w:rsid w:val="006D7B1B"/>
    <w:rsid w:val="006E1335"/>
    <w:rsid w:val="006E1485"/>
    <w:rsid w:val="006E18E9"/>
    <w:rsid w:val="006E2023"/>
    <w:rsid w:val="006E28CF"/>
    <w:rsid w:val="006E4B5A"/>
    <w:rsid w:val="006E7A53"/>
    <w:rsid w:val="006F04A8"/>
    <w:rsid w:val="006F29EF"/>
    <w:rsid w:val="006F34A2"/>
    <w:rsid w:val="006F3B32"/>
    <w:rsid w:val="006F4337"/>
    <w:rsid w:val="006F56C2"/>
    <w:rsid w:val="006F6E79"/>
    <w:rsid w:val="00700B25"/>
    <w:rsid w:val="00702239"/>
    <w:rsid w:val="007027D5"/>
    <w:rsid w:val="00702B70"/>
    <w:rsid w:val="00703EF6"/>
    <w:rsid w:val="007044F7"/>
    <w:rsid w:val="00704950"/>
    <w:rsid w:val="00705126"/>
    <w:rsid w:val="00706E55"/>
    <w:rsid w:val="007116F5"/>
    <w:rsid w:val="00711AA7"/>
    <w:rsid w:val="0071358D"/>
    <w:rsid w:val="00714C75"/>
    <w:rsid w:val="00716CDF"/>
    <w:rsid w:val="00720FA7"/>
    <w:rsid w:val="00721A96"/>
    <w:rsid w:val="00721AE9"/>
    <w:rsid w:val="00721B40"/>
    <w:rsid w:val="007230CE"/>
    <w:rsid w:val="0072568D"/>
    <w:rsid w:val="0072645F"/>
    <w:rsid w:val="00727C57"/>
    <w:rsid w:val="00730442"/>
    <w:rsid w:val="007306A7"/>
    <w:rsid w:val="0073096B"/>
    <w:rsid w:val="007331A9"/>
    <w:rsid w:val="0073439A"/>
    <w:rsid w:val="00735E23"/>
    <w:rsid w:val="00740E00"/>
    <w:rsid w:val="0074227D"/>
    <w:rsid w:val="00742345"/>
    <w:rsid w:val="007423E5"/>
    <w:rsid w:val="00742EEA"/>
    <w:rsid w:val="00744AA8"/>
    <w:rsid w:val="00745E34"/>
    <w:rsid w:val="007466E2"/>
    <w:rsid w:val="00750976"/>
    <w:rsid w:val="00751308"/>
    <w:rsid w:val="007515B0"/>
    <w:rsid w:val="0075270D"/>
    <w:rsid w:val="00752862"/>
    <w:rsid w:val="0075312F"/>
    <w:rsid w:val="007542BA"/>
    <w:rsid w:val="0075598F"/>
    <w:rsid w:val="00757A6E"/>
    <w:rsid w:val="00760CDB"/>
    <w:rsid w:val="007613DC"/>
    <w:rsid w:val="00761C93"/>
    <w:rsid w:val="00763B5E"/>
    <w:rsid w:val="00763E29"/>
    <w:rsid w:val="007649B5"/>
    <w:rsid w:val="00765AA4"/>
    <w:rsid w:val="00766C58"/>
    <w:rsid w:val="00770151"/>
    <w:rsid w:val="00770EB4"/>
    <w:rsid w:val="007711DF"/>
    <w:rsid w:val="007726B1"/>
    <w:rsid w:val="00772A58"/>
    <w:rsid w:val="007731D9"/>
    <w:rsid w:val="00773836"/>
    <w:rsid w:val="00774D93"/>
    <w:rsid w:val="00775C99"/>
    <w:rsid w:val="00777334"/>
    <w:rsid w:val="00780919"/>
    <w:rsid w:val="00780FAE"/>
    <w:rsid w:val="00781C8A"/>
    <w:rsid w:val="00783BC8"/>
    <w:rsid w:val="00783EEB"/>
    <w:rsid w:val="007846EF"/>
    <w:rsid w:val="00784819"/>
    <w:rsid w:val="00786391"/>
    <w:rsid w:val="00790BB1"/>
    <w:rsid w:val="0079267F"/>
    <w:rsid w:val="00795758"/>
    <w:rsid w:val="00796707"/>
    <w:rsid w:val="007A20D7"/>
    <w:rsid w:val="007A2EBF"/>
    <w:rsid w:val="007A4B32"/>
    <w:rsid w:val="007A5433"/>
    <w:rsid w:val="007A74DC"/>
    <w:rsid w:val="007A7926"/>
    <w:rsid w:val="007A7DD3"/>
    <w:rsid w:val="007B0330"/>
    <w:rsid w:val="007B07C6"/>
    <w:rsid w:val="007B0A1F"/>
    <w:rsid w:val="007B1366"/>
    <w:rsid w:val="007B225C"/>
    <w:rsid w:val="007B267A"/>
    <w:rsid w:val="007B2F99"/>
    <w:rsid w:val="007B5F8A"/>
    <w:rsid w:val="007B6108"/>
    <w:rsid w:val="007B76EC"/>
    <w:rsid w:val="007B7CB4"/>
    <w:rsid w:val="007C0631"/>
    <w:rsid w:val="007C0EF4"/>
    <w:rsid w:val="007C1778"/>
    <w:rsid w:val="007C1898"/>
    <w:rsid w:val="007C3443"/>
    <w:rsid w:val="007C4B1B"/>
    <w:rsid w:val="007C4DC8"/>
    <w:rsid w:val="007C5A73"/>
    <w:rsid w:val="007C60AE"/>
    <w:rsid w:val="007D0767"/>
    <w:rsid w:val="007D332A"/>
    <w:rsid w:val="007D37E4"/>
    <w:rsid w:val="007D5083"/>
    <w:rsid w:val="007D511C"/>
    <w:rsid w:val="007D7B35"/>
    <w:rsid w:val="007E0956"/>
    <w:rsid w:val="007E4CE6"/>
    <w:rsid w:val="007E4FE6"/>
    <w:rsid w:val="007E69BE"/>
    <w:rsid w:val="007E6DFA"/>
    <w:rsid w:val="007F1EE6"/>
    <w:rsid w:val="007F2231"/>
    <w:rsid w:val="007F24ED"/>
    <w:rsid w:val="007F2D2B"/>
    <w:rsid w:val="007F2E9A"/>
    <w:rsid w:val="007F4FDB"/>
    <w:rsid w:val="007F5937"/>
    <w:rsid w:val="007F5A55"/>
    <w:rsid w:val="007F6E7D"/>
    <w:rsid w:val="007F7A43"/>
    <w:rsid w:val="008013EE"/>
    <w:rsid w:val="0080167D"/>
    <w:rsid w:val="00801A20"/>
    <w:rsid w:val="00802A73"/>
    <w:rsid w:val="00803213"/>
    <w:rsid w:val="00803B68"/>
    <w:rsid w:val="00804A55"/>
    <w:rsid w:val="00804E72"/>
    <w:rsid w:val="008073DD"/>
    <w:rsid w:val="00807F4F"/>
    <w:rsid w:val="008113D6"/>
    <w:rsid w:val="00811732"/>
    <w:rsid w:val="00813F44"/>
    <w:rsid w:val="0081459E"/>
    <w:rsid w:val="0081465D"/>
    <w:rsid w:val="008150AD"/>
    <w:rsid w:val="00815A1F"/>
    <w:rsid w:val="00817FA3"/>
    <w:rsid w:val="008226E2"/>
    <w:rsid w:val="008231DB"/>
    <w:rsid w:val="0082455C"/>
    <w:rsid w:val="008245D6"/>
    <w:rsid w:val="00825365"/>
    <w:rsid w:val="008267CD"/>
    <w:rsid w:val="00826990"/>
    <w:rsid w:val="0082718F"/>
    <w:rsid w:val="0082720C"/>
    <w:rsid w:val="0082737B"/>
    <w:rsid w:val="00827437"/>
    <w:rsid w:val="0083357E"/>
    <w:rsid w:val="0083358A"/>
    <w:rsid w:val="00834154"/>
    <w:rsid w:val="0083452B"/>
    <w:rsid w:val="00834D85"/>
    <w:rsid w:val="008352F8"/>
    <w:rsid w:val="00835A4D"/>
    <w:rsid w:val="00840472"/>
    <w:rsid w:val="00840F6D"/>
    <w:rsid w:val="008414EB"/>
    <w:rsid w:val="0084171B"/>
    <w:rsid w:val="00841DEF"/>
    <w:rsid w:val="00842B0D"/>
    <w:rsid w:val="00843B4B"/>
    <w:rsid w:val="00844B6A"/>
    <w:rsid w:val="00844F13"/>
    <w:rsid w:val="008458BF"/>
    <w:rsid w:val="00845F2D"/>
    <w:rsid w:val="00846F2A"/>
    <w:rsid w:val="00850941"/>
    <w:rsid w:val="00851255"/>
    <w:rsid w:val="00851498"/>
    <w:rsid w:val="00855DD5"/>
    <w:rsid w:val="00862031"/>
    <w:rsid w:val="00862F6D"/>
    <w:rsid w:val="008634A0"/>
    <w:rsid w:val="00863F98"/>
    <w:rsid w:val="00864520"/>
    <w:rsid w:val="008660AE"/>
    <w:rsid w:val="00866534"/>
    <w:rsid w:val="008666C9"/>
    <w:rsid w:val="00866C1C"/>
    <w:rsid w:val="00867358"/>
    <w:rsid w:val="00867456"/>
    <w:rsid w:val="008705C8"/>
    <w:rsid w:val="00870DE3"/>
    <w:rsid w:val="0087114C"/>
    <w:rsid w:val="00871A9B"/>
    <w:rsid w:val="008720FB"/>
    <w:rsid w:val="0087255B"/>
    <w:rsid w:val="008726AD"/>
    <w:rsid w:val="00875189"/>
    <w:rsid w:val="00875365"/>
    <w:rsid w:val="00875DDA"/>
    <w:rsid w:val="00876217"/>
    <w:rsid w:val="0087754B"/>
    <w:rsid w:val="008809BB"/>
    <w:rsid w:val="00881077"/>
    <w:rsid w:val="008820E0"/>
    <w:rsid w:val="008823BB"/>
    <w:rsid w:val="00882C21"/>
    <w:rsid w:val="008839E8"/>
    <w:rsid w:val="00884057"/>
    <w:rsid w:val="008862C9"/>
    <w:rsid w:val="00887768"/>
    <w:rsid w:val="008920FD"/>
    <w:rsid w:val="00894007"/>
    <w:rsid w:val="008942BF"/>
    <w:rsid w:val="00894A27"/>
    <w:rsid w:val="00897D98"/>
    <w:rsid w:val="008A1128"/>
    <w:rsid w:val="008A3CBA"/>
    <w:rsid w:val="008A4A39"/>
    <w:rsid w:val="008A6A9D"/>
    <w:rsid w:val="008B03B4"/>
    <w:rsid w:val="008B09C5"/>
    <w:rsid w:val="008B1DA2"/>
    <w:rsid w:val="008B2079"/>
    <w:rsid w:val="008B361D"/>
    <w:rsid w:val="008B74F0"/>
    <w:rsid w:val="008B7947"/>
    <w:rsid w:val="008C0690"/>
    <w:rsid w:val="008C0894"/>
    <w:rsid w:val="008C0B24"/>
    <w:rsid w:val="008C426C"/>
    <w:rsid w:val="008C563A"/>
    <w:rsid w:val="008C78E6"/>
    <w:rsid w:val="008D0053"/>
    <w:rsid w:val="008D0558"/>
    <w:rsid w:val="008D07B8"/>
    <w:rsid w:val="008D2938"/>
    <w:rsid w:val="008D3CD0"/>
    <w:rsid w:val="008D3D31"/>
    <w:rsid w:val="008D40AD"/>
    <w:rsid w:val="008D42FE"/>
    <w:rsid w:val="008D4ABE"/>
    <w:rsid w:val="008D4C85"/>
    <w:rsid w:val="008D5348"/>
    <w:rsid w:val="008E1EC5"/>
    <w:rsid w:val="008E2009"/>
    <w:rsid w:val="008E310A"/>
    <w:rsid w:val="008E3470"/>
    <w:rsid w:val="008E34CB"/>
    <w:rsid w:val="008E388F"/>
    <w:rsid w:val="008E5801"/>
    <w:rsid w:val="008E5A39"/>
    <w:rsid w:val="008E7188"/>
    <w:rsid w:val="008F3011"/>
    <w:rsid w:val="008F432F"/>
    <w:rsid w:val="008F54DC"/>
    <w:rsid w:val="008F7914"/>
    <w:rsid w:val="008F7AF1"/>
    <w:rsid w:val="009014EA"/>
    <w:rsid w:val="009039B8"/>
    <w:rsid w:val="009042CC"/>
    <w:rsid w:val="00905221"/>
    <w:rsid w:val="009077E2"/>
    <w:rsid w:val="009077F9"/>
    <w:rsid w:val="00910738"/>
    <w:rsid w:val="009114E8"/>
    <w:rsid w:val="00912BBB"/>
    <w:rsid w:val="00912E3A"/>
    <w:rsid w:val="00914489"/>
    <w:rsid w:val="00914D45"/>
    <w:rsid w:val="00915BF1"/>
    <w:rsid w:val="009204D4"/>
    <w:rsid w:val="00920596"/>
    <w:rsid w:val="00920D7C"/>
    <w:rsid w:val="00921406"/>
    <w:rsid w:val="00922B3D"/>
    <w:rsid w:val="00925076"/>
    <w:rsid w:val="00927482"/>
    <w:rsid w:val="00927928"/>
    <w:rsid w:val="00931425"/>
    <w:rsid w:val="0093168A"/>
    <w:rsid w:val="00932F0A"/>
    <w:rsid w:val="00933F3B"/>
    <w:rsid w:val="009355E7"/>
    <w:rsid w:val="00936603"/>
    <w:rsid w:val="0093752F"/>
    <w:rsid w:val="00937A4E"/>
    <w:rsid w:val="00937D90"/>
    <w:rsid w:val="00940CB1"/>
    <w:rsid w:val="00941803"/>
    <w:rsid w:val="00943AE1"/>
    <w:rsid w:val="00943D14"/>
    <w:rsid w:val="009444B3"/>
    <w:rsid w:val="00944C0D"/>
    <w:rsid w:val="0094542D"/>
    <w:rsid w:val="0094658A"/>
    <w:rsid w:val="00946DF4"/>
    <w:rsid w:val="0095403A"/>
    <w:rsid w:val="0095461A"/>
    <w:rsid w:val="0095506C"/>
    <w:rsid w:val="009554A0"/>
    <w:rsid w:val="00955B72"/>
    <w:rsid w:val="009561C7"/>
    <w:rsid w:val="0095785E"/>
    <w:rsid w:val="00961442"/>
    <w:rsid w:val="009616C5"/>
    <w:rsid w:val="00962824"/>
    <w:rsid w:val="00963459"/>
    <w:rsid w:val="009636E7"/>
    <w:rsid w:val="00964FA3"/>
    <w:rsid w:val="0096642C"/>
    <w:rsid w:val="0096681A"/>
    <w:rsid w:val="00967BE4"/>
    <w:rsid w:val="00975D8D"/>
    <w:rsid w:val="00977A7E"/>
    <w:rsid w:val="009817AA"/>
    <w:rsid w:val="00984121"/>
    <w:rsid w:val="00984A6F"/>
    <w:rsid w:val="009855FF"/>
    <w:rsid w:val="00985E3C"/>
    <w:rsid w:val="0098794A"/>
    <w:rsid w:val="0099013F"/>
    <w:rsid w:val="00991EAF"/>
    <w:rsid w:val="00993C8D"/>
    <w:rsid w:val="00997B84"/>
    <w:rsid w:val="00997BE3"/>
    <w:rsid w:val="009A23B5"/>
    <w:rsid w:val="009A2899"/>
    <w:rsid w:val="009A296E"/>
    <w:rsid w:val="009A31A2"/>
    <w:rsid w:val="009A4614"/>
    <w:rsid w:val="009A74F1"/>
    <w:rsid w:val="009B01D7"/>
    <w:rsid w:val="009B1415"/>
    <w:rsid w:val="009B155C"/>
    <w:rsid w:val="009B1ECF"/>
    <w:rsid w:val="009B5AA5"/>
    <w:rsid w:val="009B6E74"/>
    <w:rsid w:val="009B7B5B"/>
    <w:rsid w:val="009C030C"/>
    <w:rsid w:val="009C0AA9"/>
    <w:rsid w:val="009C0AD8"/>
    <w:rsid w:val="009C0FFB"/>
    <w:rsid w:val="009C293B"/>
    <w:rsid w:val="009C3B1E"/>
    <w:rsid w:val="009C3E4C"/>
    <w:rsid w:val="009C5714"/>
    <w:rsid w:val="009C669E"/>
    <w:rsid w:val="009C6B0B"/>
    <w:rsid w:val="009D04A7"/>
    <w:rsid w:val="009D0A31"/>
    <w:rsid w:val="009D0FBE"/>
    <w:rsid w:val="009D2449"/>
    <w:rsid w:val="009D2F32"/>
    <w:rsid w:val="009D2F4F"/>
    <w:rsid w:val="009D3DEA"/>
    <w:rsid w:val="009D47CB"/>
    <w:rsid w:val="009D650B"/>
    <w:rsid w:val="009D7E9B"/>
    <w:rsid w:val="009E06F0"/>
    <w:rsid w:val="009E0D09"/>
    <w:rsid w:val="009E1736"/>
    <w:rsid w:val="009E452C"/>
    <w:rsid w:val="009E545A"/>
    <w:rsid w:val="009E7486"/>
    <w:rsid w:val="009F0150"/>
    <w:rsid w:val="009F0194"/>
    <w:rsid w:val="009F1281"/>
    <w:rsid w:val="009F16CB"/>
    <w:rsid w:val="009F2086"/>
    <w:rsid w:val="009F2C38"/>
    <w:rsid w:val="009F4895"/>
    <w:rsid w:val="009F4E04"/>
    <w:rsid w:val="009F51CE"/>
    <w:rsid w:val="009F597D"/>
    <w:rsid w:val="009F7776"/>
    <w:rsid w:val="009F7FDF"/>
    <w:rsid w:val="00A01F8B"/>
    <w:rsid w:val="00A02763"/>
    <w:rsid w:val="00A038B7"/>
    <w:rsid w:val="00A06DD0"/>
    <w:rsid w:val="00A10345"/>
    <w:rsid w:val="00A107FF"/>
    <w:rsid w:val="00A112E3"/>
    <w:rsid w:val="00A123C0"/>
    <w:rsid w:val="00A128ED"/>
    <w:rsid w:val="00A1380D"/>
    <w:rsid w:val="00A13CD6"/>
    <w:rsid w:val="00A15638"/>
    <w:rsid w:val="00A15E88"/>
    <w:rsid w:val="00A20F24"/>
    <w:rsid w:val="00A21978"/>
    <w:rsid w:val="00A235D2"/>
    <w:rsid w:val="00A248C3"/>
    <w:rsid w:val="00A25259"/>
    <w:rsid w:val="00A271FF"/>
    <w:rsid w:val="00A27A03"/>
    <w:rsid w:val="00A30C20"/>
    <w:rsid w:val="00A32459"/>
    <w:rsid w:val="00A329B6"/>
    <w:rsid w:val="00A339D6"/>
    <w:rsid w:val="00A35081"/>
    <w:rsid w:val="00A3550E"/>
    <w:rsid w:val="00A3731C"/>
    <w:rsid w:val="00A40D57"/>
    <w:rsid w:val="00A412C8"/>
    <w:rsid w:val="00A424D9"/>
    <w:rsid w:val="00A4276F"/>
    <w:rsid w:val="00A43DC5"/>
    <w:rsid w:val="00A44488"/>
    <w:rsid w:val="00A44719"/>
    <w:rsid w:val="00A44AD8"/>
    <w:rsid w:val="00A45581"/>
    <w:rsid w:val="00A45F22"/>
    <w:rsid w:val="00A4743E"/>
    <w:rsid w:val="00A474A2"/>
    <w:rsid w:val="00A501F0"/>
    <w:rsid w:val="00A505A5"/>
    <w:rsid w:val="00A50DD2"/>
    <w:rsid w:val="00A531B3"/>
    <w:rsid w:val="00A536E4"/>
    <w:rsid w:val="00A54A2B"/>
    <w:rsid w:val="00A54C0E"/>
    <w:rsid w:val="00A551A0"/>
    <w:rsid w:val="00A60CB6"/>
    <w:rsid w:val="00A62E98"/>
    <w:rsid w:val="00A64CB1"/>
    <w:rsid w:val="00A6640B"/>
    <w:rsid w:val="00A669FA"/>
    <w:rsid w:val="00A7009C"/>
    <w:rsid w:val="00A71C17"/>
    <w:rsid w:val="00A72E87"/>
    <w:rsid w:val="00A74449"/>
    <w:rsid w:val="00A75CD2"/>
    <w:rsid w:val="00A75CFF"/>
    <w:rsid w:val="00A765C3"/>
    <w:rsid w:val="00A76BFA"/>
    <w:rsid w:val="00A771BB"/>
    <w:rsid w:val="00A77C32"/>
    <w:rsid w:val="00A80A74"/>
    <w:rsid w:val="00A81642"/>
    <w:rsid w:val="00A81B6C"/>
    <w:rsid w:val="00A81D73"/>
    <w:rsid w:val="00A825AF"/>
    <w:rsid w:val="00A84269"/>
    <w:rsid w:val="00A84DD9"/>
    <w:rsid w:val="00A86651"/>
    <w:rsid w:val="00A8783B"/>
    <w:rsid w:val="00A8789E"/>
    <w:rsid w:val="00A9074D"/>
    <w:rsid w:val="00A91B18"/>
    <w:rsid w:val="00A91E1A"/>
    <w:rsid w:val="00A93D0A"/>
    <w:rsid w:val="00A93EE0"/>
    <w:rsid w:val="00A93EE1"/>
    <w:rsid w:val="00A95E9E"/>
    <w:rsid w:val="00A9711C"/>
    <w:rsid w:val="00AA000D"/>
    <w:rsid w:val="00AA0017"/>
    <w:rsid w:val="00AA0ACF"/>
    <w:rsid w:val="00AA17B8"/>
    <w:rsid w:val="00AA42A4"/>
    <w:rsid w:val="00AA70EC"/>
    <w:rsid w:val="00AB0AF0"/>
    <w:rsid w:val="00AB24D4"/>
    <w:rsid w:val="00AB269B"/>
    <w:rsid w:val="00AB62C5"/>
    <w:rsid w:val="00AB6418"/>
    <w:rsid w:val="00AB69A8"/>
    <w:rsid w:val="00AC0F0B"/>
    <w:rsid w:val="00AC0FD7"/>
    <w:rsid w:val="00AC12FD"/>
    <w:rsid w:val="00AC1DFD"/>
    <w:rsid w:val="00AC28F6"/>
    <w:rsid w:val="00AC3027"/>
    <w:rsid w:val="00AC3910"/>
    <w:rsid w:val="00AC5010"/>
    <w:rsid w:val="00AC53B6"/>
    <w:rsid w:val="00AC6137"/>
    <w:rsid w:val="00AC655E"/>
    <w:rsid w:val="00AC776B"/>
    <w:rsid w:val="00AD0891"/>
    <w:rsid w:val="00AD1EE9"/>
    <w:rsid w:val="00AD22A6"/>
    <w:rsid w:val="00AD3905"/>
    <w:rsid w:val="00AD427B"/>
    <w:rsid w:val="00AD454F"/>
    <w:rsid w:val="00AE04F7"/>
    <w:rsid w:val="00AE15B9"/>
    <w:rsid w:val="00AE19DC"/>
    <w:rsid w:val="00AE25EF"/>
    <w:rsid w:val="00AE3AB3"/>
    <w:rsid w:val="00AE4470"/>
    <w:rsid w:val="00AE539E"/>
    <w:rsid w:val="00AE5956"/>
    <w:rsid w:val="00AF03CE"/>
    <w:rsid w:val="00AF3310"/>
    <w:rsid w:val="00AF4326"/>
    <w:rsid w:val="00AF6FD8"/>
    <w:rsid w:val="00B00CC9"/>
    <w:rsid w:val="00B0234E"/>
    <w:rsid w:val="00B0460E"/>
    <w:rsid w:val="00B1086C"/>
    <w:rsid w:val="00B1347E"/>
    <w:rsid w:val="00B136DE"/>
    <w:rsid w:val="00B15728"/>
    <w:rsid w:val="00B15F47"/>
    <w:rsid w:val="00B17904"/>
    <w:rsid w:val="00B21986"/>
    <w:rsid w:val="00B21E15"/>
    <w:rsid w:val="00B2469A"/>
    <w:rsid w:val="00B255B8"/>
    <w:rsid w:val="00B279A7"/>
    <w:rsid w:val="00B27BEB"/>
    <w:rsid w:val="00B30178"/>
    <w:rsid w:val="00B31363"/>
    <w:rsid w:val="00B33307"/>
    <w:rsid w:val="00B35523"/>
    <w:rsid w:val="00B36034"/>
    <w:rsid w:val="00B36DA8"/>
    <w:rsid w:val="00B41266"/>
    <w:rsid w:val="00B42876"/>
    <w:rsid w:val="00B42DC0"/>
    <w:rsid w:val="00B45A28"/>
    <w:rsid w:val="00B46F00"/>
    <w:rsid w:val="00B47841"/>
    <w:rsid w:val="00B533AA"/>
    <w:rsid w:val="00B56EC9"/>
    <w:rsid w:val="00B6027B"/>
    <w:rsid w:val="00B619D3"/>
    <w:rsid w:val="00B620E8"/>
    <w:rsid w:val="00B6261D"/>
    <w:rsid w:val="00B62796"/>
    <w:rsid w:val="00B63151"/>
    <w:rsid w:val="00B63B6A"/>
    <w:rsid w:val="00B63BD0"/>
    <w:rsid w:val="00B67277"/>
    <w:rsid w:val="00B703AA"/>
    <w:rsid w:val="00B7060F"/>
    <w:rsid w:val="00B71044"/>
    <w:rsid w:val="00B71EB1"/>
    <w:rsid w:val="00B74438"/>
    <w:rsid w:val="00B74F12"/>
    <w:rsid w:val="00B75D0A"/>
    <w:rsid w:val="00B830F7"/>
    <w:rsid w:val="00B8380D"/>
    <w:rsid w:val="00B8488B"/>
    <w:rsid w:val="00B86739"/>
    <w:rsid w:val="00B872E4"/>
    <w:rsid w:val="00B927B5"/>
    <w:rsid w:val="00B92D99"/>
    <w:rsid w:val="00B9538A"/>
    <w:rsid w:val="00B9595E"/>
    <w:rsid w:val="00B96904"/>
    <w:rsid w:val="00BA115C"/>
    <w:rsid w:val="00BA14A6"/>
    <w:rsid w:val="00BA1525"/>
    <w:rsid w:val="00BA165B"/>
    <w:rsid w:val="00BA4919"/>
    <w:rsid w:val="00BA4CB5"/>
    <w:rsid w:val="00BA5C96"/>
    <w:rsid w:val="00BA6059"/>
    <w:rsid w:val="00BB2AEF"/>
    <w:rsid w:val="00BB2AF9"/>
    <w:rsid w:val="00BB3096"/>
    <w:rsid w:val="00BB310D"/>
    <w:rsid w:val="00BB347B"/>
    <w:rsid w:val="00BB74B3"/>
    <w:rsid w:val="00BB7B81"/>
    <w:rsid w:val="00BB7D8A"/>
    <w:rsid w:val="00BC16B2"/>
    <w:rsid w:val="00BC2712"/>
    <w:rsid w:val="00BC299C"/>
    <w:rsid w:val="00BC4AD4"/>
    <w:rsid w:val="00BC57B7"/>
    <w:rsid w:val="00BC6EDC"/>
    <w:rsid w:val="00BC7453"/>
    <w:rsid w:val="00BD0694"/>
    <w:rsid w:val="00BD1143"/>
    <w:rsid w:val="00BD11E5"/>
    <w:rsid w:val="00BD2BF6"/>
    <w:rsid w:val="00BD30AD"/>
    <w:rsid w:val="00BD5D98"/>
    <w:rsid w:val="00BD63F6"/>
    <w:rsid w:val="00BE2ABD"/>
    <w:rsid w:val="00BE3B37"/>
    <w:rsid w:val="00BE5B4B"/>
    <w:rsid w:val="00BF0E3C"/>
    <w:rsid w:val="00BF264C"/>
    <w:rsid w:val="00BF4256"/>
    <w:rsid w:val="00BF427E"/>
    <w:rsid w:val="00BF4F47"/>
    <w:rsid w:val="00BF6AD6"/>
    <w:rsid w:val="00BF717E"/>
    <w:rsid w:val="00BF799F"/>
    <w:rsid w:val="00BF7ED5"/>
    <w:rsid w:val="00C00736"/>
    <w:rsid w:val="00C00C5B"/>
    <w:rsid w:val="00C011B4"/>
    <w:rsid w:val="00C015E9"/>
    <w:rsid w:val="00C01E96"/>
    <w:rsid w:val="00C0264D"/>
    <w:rsid w:val="00C02B84"/>
    <w:rsid w:val="00C053F6"/>
    <w:rsid w:val="00C070C6"/>
    <w:rsid w:val="00C07FCA"/>
    <w:rsid w:val="00C10A4A"/>
    <w:rsid w:val="00C11227"/>
    <w:rsid w:val="00C12230"/>
    <w:rsid w:val="00C12CC8"/>
    <w:rsid w:val="00C155D2"/>
    <w:rsid w:val="00C15F5F"/>
    <w:rsid w:val="00C168E3"/>
    <w:rsid w:val="00C17B33"/>
    <w:rsid w:val="00C20CA1"/>
    <w:rsid w:val="00C218D8"/>
    <w:rsid w:val="00C22C3A"/>
    <w:rsid w:val="00C25038"/>
    <w:rsid w:val="00C253AF"/>
    <w:rsid w:val="00C265CA"/>
    <w:rsid w:val="00C26969"/>
    <w:rsid w:val="00C27EBB"/>
    <w:rsid w:val="00C300F4"/>
    <w:rsid w:val="00C305D2"/>
    <w:rsid w:val="00C3091B"/>
    <w:rsid w:val="00C312BA"/>
    <w:rsid w:val="00C31697"/>
    <w:rsid w:val="00C34DCC"/>
    <w:rsid w:val="00C35580"/>
    <w:rsid w:val="00C361AC"/>
    <w:rsid w:val="00C4039B"/>
    <w:rsid w:val="00C41903"/>
    <w:rsid w:val="00C43D79"/>
    <w:rsid w:val="00C47B32"/>
    <w:rsid w:val="00C51CEC"/>
    <w:rsid w:val="00C51E4A"/>
    <w:rsid w:val="00C5216A"/>
    <w:rsid w:val="00C52E60"/>
    <w:rsid w:val="00C5319A"/>
    <w:rsid w:val="00C53497"/>
    <w:rsid w:val="00C53557"/>
    <w:rsid w:val="00C54B26"/>
    <w:rsid w:val="00C5754F"/>
    <w:rsid w:val="00C61DA9"/>
    <w:rsid w:val="00C629F1"/>
    <w:rsid w:val="00C63DBE"/>
    <w:rsid w:val="00C66583"/>
    <w:rsid w:val="00C66B56"/>
    <w:rsid w:val="00C702EE"/>
    <w:rsid w:val="00C7296D"/>
    <w:rsid w:val="00C74B4B"/>
    <w:rsid w:val="00C77F6A"/>
    <w:rsid w:val="00C817AA"/>
    <w:rsid w:val="00C82B90"/>
    <w:rsid w:val="00C8331B"/>
    <w:rsid w:val="00C8360E"/>
    <w:rsid w:val="00C8368A"/>
    <w:rsid w:val="00C83BDE"/>
    <w:rsid w:val="00C85DFE"/>
    <w:rsid w:val="00C860A6"/>
    <w:rsid w:val="00C87B2F"/>
    <w:rsid w:val="00C87B9A"/>
    <w:rsid w:val="00C907EC"/>
    <w:rsid w:val="00C91328"/>
    <w:rsid w:val="00C92A19"/>
    <w:rsid w:val="00C938C8"/>
    <w:rsid w:val="00C94FC5"/>
    <w:rsid w:val="00C95885"/>
    <w:rsid w:val="00C972D1"/>
    <w:rsid w:val="00C979BF"/>
    <w:rsid w:val="00CA2128"/>
    <w:rsid w:val="00CA3378"/>
    <w:rsid w:val="00CA375B"/>
    <w:rsid w:val="00CA4E17"/>
    <w:rsid w:val="00CA66F6"/>
    <w:rsid w:val="00CA6A92"/>
    <w:rsid w:val="00CB0119"/>
    <w:rsid w:val="00CB0A73"/>
    <w:rsid w:val="00CB0D29"/>
    <w:rsid w:val="00CB0D71"/>
    <w:rsid w:val="00CB10DC"/>
    <w:rsid w:val="00CB15B7"/>
    <w:rsid w:val="00CB461F"/>
    <w:rsid w:val="00CB4AE0"/>
    <w:rsid w:val="00CB75A1"/>
    <w:rsid w:val="00CC0259"/>
    <w:rsid w:val="00CC0483"/>
    <w:rsid w:val="00CC07EB"/>
    <w:rsid w:val="00CC08AE"/>
    <w:rsid w:val="00CC0B5D"/>
    <w:rsid w:val="00CC1823"/>
    <w:rsid w:val="00CC211B"/>
    <w:rsid w:val="00CC21B9"/>
    <w:rsid w:val="00CC28EB"/>
    <w:rsid w:val="00CC31BD"/>
    <w:rsid w:val="00CC3329"/>
    <w:rsid w:val="00CC3599"/>
    <w:rsid w:val="00CC5AB9"/>
    <w:rsid w:val="00CC5D7C"/>
    <w:rsid w:val="00CC7179"/>
    <w:rsid w:val="00CD09AA"/>
    <w:rsid w:val="00CD225E"/>
    <w:rsid w:val="00CD275D"/>
    <w:rsid w:val="00CD30E4"/>
    <w:rsid w:val="00CD378A"/>
    <w:rsid w:val="00CD42B7"/>
    <w:rsid w:val="00CD4CB8"/>
    <w:rsid w:val="00CD4EFB"/>
    <w:rsid w:val="00CD529F"/>
    <w:rsid w:val="00CD6021"/>
    <w:rsid w:val="00CD6299"/>
    <w:rsid w:val="00CE3E8B"/>
    <w:rsid w:val="00CE4825"/>
    <w:rsid w:val="00CE61D4"/>
    <w:rsid w:val="00CE667E"/>
    <w:rsid w:val="00CE770E"/>
    <w:rsid w:val="00CF07EE"/>
    <w:rsid w:val="00CF2749"/>
    <w:rsid w:val="00CF2DCF"/>
    <w:rsid w:val="00CF4B3B"/>
    <w:rsid w:val="00CF6E41"/>
    <w:rsid w:val="00CF7560"/>
    <w:rsid w:val="00CF7865"/>
    <w:rsid w:val="00CF7A23"/>
    <w:rsid w:val="00D01881"/>
    <w:rsid w:val="00D0578E"/>
    <w:rsid w:val="00D07C63"/>
    <w:rsid w:val="00D10349"/>
    <w:rsid w:val="00D118BB"/>
    <w:rsid w:val="00D121B1"/>
    <w:rsid w:val="00D125D0"/>
    <w:rsid w:val="00D12D8B"/>
    <w:rsid w:val="00D13243"/>
    <w:rsid w:val="00D14286"/>
    <w:rsid w:val="00D148BC"/>
    <w:rsid w:val="00D16A0B"/>
    <w:rsid w:val="00D20B28"/>
    <w:rsid w:val="00D21E97"/>
    <w:rsid w:val="00D23585"/>
    <w:rsid w:val="00D23631"/>
    <w:rsid w:val="00D23EB3"/>
    <w:rsid w:val="00D250C4"/>
    <w:rsid w:val="00D253B0"/>
    <w:rsid w:val="00D2555F"/>
    <w:rsid w:val="00D25A1E"/>
    <w:rsid w:val="00D26D3C"/>
    <w:rsid w:val="00D27792"/>
    <w:rsid w:val="00D3171C"/>
    <w:rsid w:val="00D3193A"/>
    <w:rsid w:val="00D32734"/>
    <w:rsid w:val="00D32E11"/>
    <w:rsid w:val="00D32F03"/>
    <w:rsid w:val="00D35A33"/>
    <w:rsid w:val="00D35C88"/>
    <w:rsid w:val="00D35E9D"/>
    <w:rsid w:val="00D36DD9"/>
    <w:rsid w:val="00D406D7"/>
    <w:rsid w:val="00D40923"/>
    <w:rsid w:val="00D41BDD"/>
    <w:rsid w:val="00D42406"/>
    <w:rsid w:val="00D44022"/>
    <w:rsid w:val="00D44CE2"/>
    <w:rsid w:val="00D45689"/>
    <w:rsid w:val="00D46A8A"/>
    <w:rsid w:val="00D473FF"/>
    <w:rsid w:val="00D47F16"/>
    <w:rsid w:val="00D50A36"/>
    <w:rsid w:val="00D51EB8"/>
    <w:rsid w:val="00D5261A"/>
    <w:rsid w:val="00D53FCE"/>
    <w:rsid w:val="00D55123"/>
    <w:rsid w:val="00D5593E"/>
    <w:rsid w:val="00D55C86"/>
    <w:rsid w:val="00D57602"/>
    <w:rsid w:val="00D6150A"/>
    <w:rsid w:val="00D62C0E"/>
    <w:rsid w:val="00D62E22"/>
    <w:rsid w:val="00D63504"/>
    <w:rsid w:val="00D63B10"/>
    <w:rsid w:val="00D64965"/>
    <w:rsid w:val="00D65D45"/>
    <w:rsid w:val="00D677AD"/>
    <w:rsid w:val="00D677C3"/>
    <w:rsid w:val="00D67A2B"/>
    <w:rsid w:val="00D70D26"/>
    <w:rsid w:val="00D712BA"/>
    <w:rsid w:val="00D717D0"/>
    <w:rsid w:val="00D733D9"/>
    <w:rsid w:val="00D75540"/>
    <w:rsid w:val="00D774BC"/>
    <w:rsid w:val="00D802BA"/>
    <w:rsid w:val="00D8294C"/>
    <w:rsid w:val="00D82B06"/>
    <w:rsid w:val="00D8707D"/>
    <w:rsid w:val="00D871F6"/>
    <w:rsid w:val="00D9263B"/>
    <w:rsid w:val="00D927BF"/>
    <w:rsid w:val="00D92E34"/>
    <w:rsid w:val="00D932D2"/>
    <w:rsid w:val="00D933BA"/>
    <w:rsid w:val="00D951B7"/>
    <w:rsid w:val="00DA181A"/>
    <w:rsid w:val="00DA25A0"/>
    <w:rsid w:val="00DB0E75"/>
    <w:rsid w:val="00DB27CB"/>
    <w:rsid w:val="00DB4AB0"/>
    <w:rsid w:val="00DB64C8"/>
    <w:rsid w:val="00DB7D79"/>
    <w:rsid w:val="00DC0107"/>
    <w:rsid w:val="00DC06EE"/>
    <w:rsid w:val="00DC2CA2"/>
    <w:rsid w:val="00DC2D0B"/>
    <w:rsid w:val="00DC35E6"/>
    <w:rsid w:val="00DC4DB2"/>
    <w:rsid w:val="00DC4F40"/>
    <w:rsid w:val="00DC55B1"/>
    <w:rsid w:val="00DC6233"/>
    <w:rsid w:val="00DC7171"/>
    <w:rsid w:val="00DC7F74"/>
    <w:rsid w:val="00DD1699"/>
    <w:rsid w:val="00DD16A6"/>
    <w:rsid w:val="00DD1EC7"/>
    <w:rsid w:val="00DD2E43"/>
    <w:rsid w:val="00DD30B5"/>
    <w:rsid w:val="00DD3435"/>
    <w:rsid w:val="00DD3F66"/>
    <w:rsid w:val="00DD5557"/>
    <w:rsid w:val="00DD56E3"/>
    <w:rsid w:val="00DD79BE"/>
    <w:rsid w:val="00DE0876"/>
    <w:rsid w:val="00DE1255"/>
    <w:rsid w:val="00DE2AE4"/>
    <w:rsid w:val="00DE3B45"/>
    <w:rsid w:val="00DE50A5"/>
    <w:rsid w:val="00DE58AD"/>
    <w:rsid w:val="00DE67BF"/>
    <w:rsid w:val="00DE74F5"/>
    <w:rsid w:val="00DF0EE9"/>
    <w:rsid w:val="00DF23F8"/>
    <w:rsid w:val="00DF2F0C"/>
    <w:rsid w:val="00DF324D"/>
    <w:rsid w:val="00DF3C55"/>
    <w:rsid w:val="00DF3FAC"/>
    <w:rsid w:val="00DF512A"/>
    <w:rsid w:val="00DF5AAD"/>
    <w:rsid w:val="00E00E09"/>
    <w:rsid w:val="00E013B8"/>
    <w:rsid w:val="00E02015"/>
    <w:rsid w:val="00E02AEC"/>
    <w:rsid w:val="00E045DC"/>
    <w:rsid w:val="00E051FB"/>
    <w:rsid w:val="00E079C9"/>
    <w:rsid w:val="00E101B3"/>
    <w:rsid w:val="00E138AA"/>
    <w:rsid w:val="00E16687"/>
    <w:rsid w:val="00E167FC"/>
    <w:rsid w:val="00E17D18"/>
    <w:rsid w:val="00E17F81"/>
    <w:rsid w:val="00E207EB"/>
    <w:rsid w:val="00E22F21"/>
    <w:rsid w:val="00E25A51"/>
    <w:rsid w:val="00E2609E"/>
    <w:rsid w:val="00E27883"/>
    <w:rsid w:val="00E27A56"/>
    <w:rsid w:val="00E31E0E"/>
    <w:rsid w:val="00E326F6"/>
    <w:rsid w:val="00E340BB"/>
    <w:rsid w:val="00E34B56"/>
    <w:rsid w:val="00E35B4B"/>
    <w:rsid w:val="00E37338"/>
    <w:rsid w:val="00E37A10"/>
    <w:rsid w:val="00E4262A"/>
    <w:rsid w:val="00E42B94"/>
    <w:rsid w:val="00E42DB5"/>
    <w:rsid w:val="00E432F9"/>
    <w:rsid w:val="00E43F1D"/>
    <w:rsid w:val="00E44447"/>
    <w:rsid w:val="00E444E8"/>
    <w:rsid w:val="00E447B1"/>
    <w:rsid w:val="00E45070"/>
    <w:rsid w:val="00E45931"/>
    <w:rsid w:val="00E4742E"/>
    <w:rsid w:val="00E51714"/>
    <w:rsid w:val="00E519D9"/>
    <w:rsid w:val="00E523E5"/>
    <w:rsid w:val="00E52CE2"/>
    <w:rsid w:val="00E53F52"/>
    <w:rsid w:val="00E55C5B"/>
    <w:rsid w:val="00E5641C"/>
    <w:rsid w:val="00E567AE"/>
    <w:rsid w:val="00E56FC8"/>
    <w:rsid w:val="00E572C8"/>
    <w:rsid w:val="00E60932"/>
    <w:rsid w:val="00E62DA1"/>
    <w:rsid w:val="00E638A0"/>
    <w:rsid w:val="00E640BD"/>
    <w:rsid w:val="00E64249"/>
    <w:rsid w:val="00E663F3"/>
    <w:rsid w:val="00E67482"/>
    <w:rsid w:val="00E70CF1"/>
    <w:rsid w:val="00E771D1"/>
    <w:rsid w:val="00E772B5"/>
    <w:rsid w:val="00E77DC3"/>
    <w:rsid w:val="00E80493"/>
    <w:rsid w:val="00E81914"/>
    <w:rsid w:val="00E81B62"/>
    <w:rsid w:val="00E81CBE"/>
    <w:rsid w:val="00E8301F"/>
    <w:rsid w:val="00E84A18"/>
    <w:rsid w:val="00E864B5"/>
    <w:rsid w:val="00E86647"/>
    <w:rsid w:val="00E87871"/>
    <w:rsid w:val="00E9092D"/>
    <w:rsid w:val="00E90BBD"/>
    <w:rsid w:val="00E91055"/>
    <w:rsid w:val="00E91D96"/>
    <w:rsid w:val="00E934F7"/>
    <w:rsid w:val="00E94A0F"/>
    <w:rsid w:val="00E95FEE"/>
    <w:rsid w:val="00E96BAC"/>
    <w:rsid w:val="00E97528"/>
    <w:rsid w:val="00E97BBB"/>
    <w:rsid w:val="00EA101B"/>
    <w:rsid w:val="00EA1315"/>
    <w:rsid w:val="00EA1E8D"/>
    <w:rsid w:val="00EA2410"/>
    <w:rsid w:val="00EA51A1"/>
    <w:rsid w:val="00EA7792"/>
    <w:rsid w:val="00EB0F09"/>
    <w:rsid w:val="00EB2209"/>
    <w:rsid w:val="00EB5081"/>
    <w:rsid w:val="00EB5ED9"/>
    <w:rsid w:val="00EB65BF"/>
    <w:rsid w:val="00EB7620"/>
    <w:rsid w:val="00EC12E4"/>
    <w:rsid w:val="00EC19E1"/>
    <w:rsid w:val="00EC1C66"/>
    <w:rsid w:val="00EC1EA7"/>
    <w:rsid w:val="00EC2311"/>
    <w:rsid w:val="00EC3060"/>
    <w:rsid w:val="00EC30F9"/>
    <w:rsid w:val="00EC33CD"/>
    <w:rsid w:val="00EC401F"/>
    <w:rsid w:val="00EC4221"/>
    <w:rsid w:val="00EC446D"/>
    <w:rsid w:val="00EC4FFB"/>
    <w:rsid w:val="00EC50F9"/>
    <w:rsid w:val="00EC518E"/>
    <w:rsid w:val="00EC52E4"/>
    <w:rsid w:val="00EC666C"/>
    <w:rsid w:val="00EC7C10"/>
    <w:rsid w:val="00ED0527"/>
    <w:rsid w:val="00ED0725"/>
    <w:rsid w:val="00ED20B2"/>
    <w:rsid w:val="00ED2C1E"/>
    <w:rsid w:val="00ED2E47"/>
    <w:rsid w:val="00ED32FD"/>
    <w:rsid w:val="00ED4615"/>
    <w:rsid w:val="00ED4F0C"/>
    <w:rsid w:val="00ED5851"/>
    <w:rsid w:val="00ED5B82"/>
    <w:rsid w:val="00ED5BAD"/>
    <w:rsid w:val="00ED5D4D"/>
    <w:rsid w:val="00ED602B"/>
    <w:rsid w:val="00ED7CEF"/>
    <w:rsid w:val="00EE0025"/>
    <w:rsid w:val="00EE02CD"/>
    <w:rsid w:val="00EE0664"/>
    <w:rsid w:val="00EE0984"/>
    <w:rsid w:val="00EE0F4D"/>
    <w:rsid w:val="00EE226C"/>
    <w:rsid w:val="00EE23C6"/>
    <w:rsid w:val="00EE28B2"/>
    <w:rsid w:val="00EE2A84"/>
    <w:rsid w:val="00EE3A98"/>
    <w:rsid w:val="00EE3B0B"/>
    <w:rsid w:val="00EE486F"/>
    <w:rsid w:val="00EE5C8C"/>
    <w:rsid w:val="00EE7B42"/>
    <w:rsid w:val="00EF0470"/>
    <w:rsid w:val="00EF0FFC"/>
    <w:rsid w:val="00EF116C"/>
    <w:rsid w:val="00EF1CF3"/>
    <w:rsid w:val="00EF2D6D"/>
    <w:rsid w:val="00EF6069"/>
    <w:rsid w:val="00EF711E"/>
    <w:rsid w:val="00EF7D9E"/>
    <w:rsid w:val="00F00645"/>
    <w:rsid w:val="00F006D2"/>
    <w:rsid w:val="00F01170"/>
    <w:rsid w:val="00F01587"/>
    <w:rsid w:val="00F01600"/>
    <w:rsid w:val="00F01C05"/>
    <w:rsid w:val="00F02C8B"/>
    <w:rsid w:val="00F035D3"/>
    <w:rsid w:val="00F04097"/>
    <w:rsid w:val="00F040B6"/>
    <w:rsid w:val="00F047C2"/>
    <w:rsid w:val="00F0648C"/>
    <w:rsid w:val="00F06518"/>
    <w:rsid w:val="00F074DB"/>
    <w:rsid w:val="00F11231"/>
    <w:rsid w:val="00F11EB2"/>
    <w:rsid w:val="00F12D11"/>
    <w:rsid w:val="00F1328F"/>
    <w:rsid w:val="00F15A5F"/>
    <w:rsid w:val="00F15E28"/>
    <w:rsid w:val="00F16291"/>
    <w:rsid w:val="00F16F07"/>
    <w:rsid w:val="00F22B48"/>
    <w:rsid w:val="00F236C1"/>
    <w:rsid w:val="00F24808"/>
    <w:rsid w:val="00F24B9E"/>
    <w:rsid w:val="00F272E1"/>
    <w:rsid w:val="00F278F2"/>
    <w:rsid w:val="00F27EF1"/>
    <w:rsid w:val="00F31566"/>
    <w:rsid w:val="00F317D6"/>
    <w:rsid w:val="00F31AE1"/>
    <w:rsid w:val="00F3366E"/>
    <w:rsid w:val="00F33BCF"/>
    <w:rsid w:val="00F34BC2"/>
    <w:rsid w:val="00F3533D"/>
    <w:rsid w:val="00F35BF3"/>
    <w:rsid w:val="00F36C03"/>
    <w:rsid w:val="00F36D60"/>
    <w:rsid w:val="00F44523"/>
    <w:rsid w:val="00F45C2C"/>
    <w:rsid w:val="00F471C2"/>
    <w:rsid w:val="00F47996"/>
    <w:rsid w:val="00F47B58"/>
    <w:rsid w:val="00F50C92"/>
    <w:rsid w:val="00F516F2"/>
    <w:rsid w:val="00F51A95"/>
    <w:rsid w:val="00F53660"/>
    <w:rsid w:val="00F53C84"/>
    <w:rsid w:val="00F53F2F"/>
    <w:rsid w:val="00F54E43"/>
    <w:rsid w:val="00F565CC"/>
    <w:rsid w:val="00F6186D"/>
    <w:rsid w:val="00F61B6C"/>
    <w:rsid w:val="00F6292D"/>
    <w:rsid w:val="00F62AF1"/>
    <w:rsid w:val="00F632A4"/>
    <w:rsid w:val="00F63BB5"/>
    <w:rsid w:val="00F66306"/>
    <w:rsid w:val="00F66B25"/>
    <w:rsid w:val="00F67B64"/>
    <w:rsid w:val="00F703F8"/>
    <w:rsid w:val="00F70BD1"/>
    <w:rsid w:val="00F71B37"/>
    <w:rsid w:val="00F727EC"/>
    <w:rsid w:val="00F7332C"/>
    <w:rsid w:val="00F74975"/>
    <w:rsid w:val="00F75C55"/>
    <w:rsid w:val="00F767A8"/>
    <w:rsid w:val="00F819B4"/>
    <w:rsid w:val="00F82F40"/>
    <w:rsid w:val="00F8552C"/>
    <w:rsid w:val="00F87307"/>
    <w:rsid w:val="00F87451"/>
    <w:rsid w:val="00F87948"/>
    <w:rsid w:val="00F90A0F"/>
    <w:rsid w:val="00F90C20"/>
    <w:rsid w:val="00F91735"/>
    <w:rsid w:val="00F918B6"/>
    <w:rsid w:val="00F9209B"/>
    <w:rsid w:val="00F927E5"/>
    <w:rsid w:val="00F94E1D"/>
    <w:rsid w:val="00F961DB"/>
    <w:rsid w:val="00F962CF"/>
    <w:rsid w:val="00F97681"/>
    <w:rsid w:val="00F97D9D"/>
    <w:rsid w:val="00FA238D"/>
    <w:rsid w:val="00FA2AF0"/>
    <w:rsid w:val="00FA2E3B"/>
    <w:rsid w:val="00FA35BF"/>
    <w:rsid w:val="00FA4441"/>
    <w:rsid w:val="00FA6000"/>
    <w:rsid w:val="00FB036D"/>
    <w:rsid w:val="00FB14A7"/>
    <w:rsid w:val="00FB2510"/>
    <w:rsid w:val="00FB2A4B"/>
    <w:rsid w:val="00FB44D0"/>
    <w:rsid w:val="00FB499D"/>
    <w:rsid w:val="00FB5C10"/>
    <w:rsid w:val="00FC0167"/>
    <w:rsid w:val="00FC0384"/>
    <w:rsid w:val="00FC4085"/>
    <w:rsid w:val="00FC670A"/>
    <w:rsid w:val="00FD24AD"/>
    <w:rsid w:val="00FD4444"/>
    <w:rsid w:val="00FD5098"/>
    <w:rsid w:val="00FD54EF"/>
    <w:rsid w:val="00FD78EA"/>
    <w:rsid w:val="00FD7D2A"/>
    <w:rsid w:val="00FE2855"/>
    <w:rsid w:val="00FE2F3F"/>
    <w:rsid w:val="00FE681E"/>
    <w:rsid w:val="00FF03A0"/>
    <w:rsid w:val="00FF1E4E"/>
    <w:rsid w:val="00FF28F9"/>
    <w:rsid w:val="00FF2C29"/>
    <w:rsid w:val="00FF309D"/>
    <w:rsid w:val="00FF5072"/>
    <w:rsid w:val="00FF5C63"/>
    <w:rsid w:val="00FF6C43"/>
    <w:rsid w:val="00FF6FD6"/>
    <w:rsid w:val="00FF7D46"/>
    <w:rsid w:val="00FF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070"/>
    <w:rPr>
      <w:sz w:val="18"/>
      <w:szCs w:val="18"/>
    </w:rPr>
  </w:style>
  <w:style w:type="paragraph" w:styleId="a4">
    <w:name w:val="footer"/>
    <w:basedOn w:val="a"/>
    <w:link w:val="Char0"/>
    <w:uiPriority w:val="99"/>
    <w:unhideWhenUsed/>
    <w:rsid w:val="00564070"/>
    <w:pPr>
      <w:tabs>
        <w:tab w:val="center" w:pos="4153"/>
        <w:tab w:val="right" w:pos="8306"/>
      </w:tabs>
      <w:snapToGrid w:val="0"/>
      <w:jc w:val="left"/>
    </w:pPr>
    <w:rPr>
      <w:sz w:val="18"/>
      <w:szCs w:val="18"/>
    </w:rPr>
  </w:style>
  <w:style w:type="character" w:customStyle="1" w:styleId="Char0">
    <w:name w:val="页脚 Char"/>
    <w:basedOn w:val="a0"/>
    <w:link w:val="a4"/>
    <w:uiPriority w:val="99"/>
    <w:rsid w:val="00564070"/>
    <w:rPr>
      <w:sz w:val="18"/>
      <w:szCs w:val="18"/>
    </w:rPr>
  </w:style>
  <w:style w:type="character" w:styleId="a5">
    <w:name w:val="Strong"/>
    <w:basedOn w:val="a0"/>
    <w:uiPriority w:val="22"/>
    <w:qFormat/>
    <w:rsid w:val="00564070"/>
    <w:rPr>
      <w:b/>
      <w:bCs/>
    </w:rPr>
  </w:style>
  <w:style w:type="paragraph" w:styleId="a6">
    <w:name w:val="Normal (Web)"/>
    <w:basedOn w:val="a"/>
    <w:uiPriority w:val="99"/>
    <w:semiHidden/>
    <w:unhideWhenUsed/>
    <w:rsid w:val="0056407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070"/>
    <w:rPr>
      <w:sz w:val="18"/>
      <w:szCs w:val="18"/>
    </w:rPr>
  </w:style>
  <w:style w:type="paragraph" w:styleId="a4">
    <w:name w:val="footer"/>
    <w:basedOn w:val="a"/>
    <w:link w:val="Char0"/>
    <w:uiPriority w:val="99"/>
    <w:unhideWhenUsed/>
    <w:rsid w:val="00564070"/>
    <w:pPr>
      <w:tabs>
        <w:tab w:val="center" w:pos="4153"/>
        <w:tab w:val="right" w:pos="8306"/>
      </w:tabs>
      <w:snapToGrid w:val="0"/>
      <w:jc w:val="left"/>
    </w:pPr>
    <w:rPr>
      <w:sz w:val="18"/>
      <w:szCs w:val="18"/>
    </w:rPr>
  </w:style>
  <w:style w:type="character" w:customStyle="1" w:styleId="Char0">
    <w:name w:val="页脚 Char"/>
    <w:basedOn w:val="a0"/>
    <w:link w:val="a4"/>
    <w:uiPriority w:val="99"/>
    <w:rsid w:val="00564070"/>
    <w:rPr>
      <w:sz w:val="18"/>
      <w:szCs w:val="18"/>
    </w:rPr>
  </w:style>
  <w:style w:type="character" w:styleId="a5">
    <w:name w:val="Strong"/>
    <w:basedOn w:val="a0"/>
    <w:uiPriority w:val="22"/>
    <w:qFormat/>
    <w:rsid w:val="00564070"/>
    <w:rPr>
      <w:b/>
      <w:bCs/>
    </w:rPr>
  </w:style>
  <w:style w:type="paragraph" w:styleId="a6">
    <w:name w:val="Normal (Web)"/>
    <w:basedOn w:val="a"/>
    <w:uiPriority w:val="99"/>
    <w:semiHidden/>
    <w:unhideWhenUsed/>
    <w:rsid w:val="005640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4730">
      <w:bodyDiv w:val="1"/>
      <w:marLeft w:val="0"/>
      <w:marRight w:val="0"/>
      <w:marTop w:val="0"/>
      <w:marBottom w:val="0"/>
      <w:divBdr>
        <w:top w:val="none" w:sz="0" w:space="0" w:color="auto"/>
        <w:left w:val="none" w:sz="0" w:space="0" w:color="auto"/>
        <w:bottom w:val="none" w:sz="0" w:space="0" w:color="auto"/>
        <w:right w:val="none" w:sz="0" w:space="0" w:color="auto"/>
      </w:divBdr>
      <w:divsChild>
        <w:div w:id="1350911596">
          <w:marLeft w:val="0"/>
          <w:marRight w:val="0"/>
          <w:marTop w:val="0"/>
          <w:marBottom w:val="0"/>
          <w:divBdr>
            <w:top w:val="none" w:sz="0" w:space="0" w:color="auto"/>
            <w:left w:val="none" w:sz="0" w:space="0" w:color="auto"/>
            <w:bottom w:val="none" w:sz="0" w:space="0" w:color="auto"/>
            <w:right w:val="none" w:sz="0" w:space="0" w:color="auto"/>
          </w:divBdr>
          <w:divsChild>
            <w:div w:id="797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3600</Words>
  <Characters>20526</Characters>
  <Application>Microsoft Office Word</Application>
  <DocSecurity>0</DocSecurity>
  <Lines>171</Lines>
  <Paragraphs>48</Paragraphs>
  <ScaleCrop>false</ScaleCrop>
  <Company>kjc</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刘晓艳</dc:creator>
  <cp:keywords/>
  <dc:description/>
  <cp:lastModifiedBy>刘晓艳</cp:lastModifiedBy>
  <cp:revision>2</cp:revision>
  <dcterms:created xsi:type="dcterms:W3CDTF">2015-03-04T03:22:00Z</dcterms:created>
  <dcterms:modified xsi:type="dcterms:W3CDTF">2015-03-04T03:30:00Z</dcterms:modified>
</cp:coreProperties>
</file>