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b w:val="0"/>
          <w:bCs w:val="0"/>
          <w:sz w:val="32"/>
          <w:szCs w:val="32"/>
          <w:lang w:val="en-US" w:eastAsia="zh-CN"/>
        </w:rPr>
      </w:pPr>
      <w:r>
        <w:rPr>
          <w:rFonts w:hint="eastAsia" w:ascii="微软雅黑" w:hAnsi="微软雅黑" w:eastAsia="微软雅黑" w:cs="微软雅黑"/>
          <w:b w:val="0"/>
          <w:bCs w:val="0"/>
          <w:sz w:val="32"/>
          <w:szCs w:val="32"/>
          <w:lang w:val="en-US" w:eastAsia="zh-CN"/>
        </w:rPr>
        <w:t>欢迎加入春季班提前批</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val="0"/>
          <w:bCs w:val="0"/>
          <w:sz w:val="32"/>
          <w:szCs w:val="32"/>
          <w:lang w:val="en-US" w:eastAsia="zh-CN"/>
        </w:rPr>
      </w:pPr>
      <w:r>
        <w:rPr>
          <w:rFonts w:hint="eastAsia" w:ascii="微软雅黑" w:hAnsi="微软雅黑" w:eastAsia="微软雅黑" w:cs="微软雅黑"/>
          <w:b w:val="0"/>
          <w:bCs w:val="0"/>
          <w:sz w:val="32"/>
          <w:szCs w:val="32"/>
          <w:lang w:val="en-US" w:eastAsia="zh-CN"/>
        </w:rPr>
        <w:t>华南师范大学经济与管理学院联合高顿教育</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val="0"/>
          <w:bCs w:val="0"/>
          <w:sz w:val="32"/>
          <w:szCs w:val="32"/>
          <w:lang w:val="en-US" w:eastAsia="zh-CN"/>
        </w:rPr>
      </w:pPr>
      <w:r>
        <w:rPr>
          <w:rFonts w:hint="eastAsia" w:ascii="微软雅黑" w:hAnsi="微软雅黑" w:eastAsia="微软雅黑" w:cs="微软雅黑"/>
          <w:b w:val="0"/>
          <w:bCs w:val="0"/>
          <w:sz w:val="32"/>
          <w:szCs w:val="32"/>
          <w:lang w:val="en-US" w:eastAsia="zh-CN"/>
        </w:rPr>
        <w:t>开设ACCA卓越班（周末）</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val="0"/>
          <w:bCs w:val="0"/>
          <w:sz w:val="32"/>
          <w:szCs w:val="32"/>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ACCA卓越班的选拔简介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华南师范大学（South China Normal University），依托大学城校区经济与管理学院、旅游管理学院、公共管理学院等学院，更好的结合英语、日语、商务英语、法学等学科资源，搭建跨学科、国际化培养平台，探索国际组织需要的高端复合型人才培养新模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华南师范大学经济与管理学院</w:t>
      </w:r>
      <w:r>
        <w:rPr>
          <w:rFonts w:hint="eastAsia" w:ascii="微软雅黑" w:hAnsi="微软雅黑" w:eastAsia="微软雅黑" w:cs="微软雅黑"/>
          <w:b/>
          <w:bCs/>
          <w:kern w:val="2"/>
          <w:sz w:val="24"/>
          <w:szCs w:val="24"/>
          <w:lang w:val="en-US" w:eastAsia="zh-CN" w:bidi="ar-SA"/>
        </w:rPr>
        <w:t>联合高顿教育</w:t>
      </w:r>
      <w:r>
        <w:rPr>
          <w:rFonts w:hint="eastAsia" w:ascii="微软雅黑" w:hAnsi="微软雅黑" w:eastAsia="微软雅黑" w:cs="微软雅黑"/>
          <w:b w:val="0"/>
          <w:bCs w:val="0"/>
          <w:kern w:val="2"/>
          <w:sz w:val="24"/>
          <w:szCs w:val="24"/>
          <w:lang w:val="en-US" w:eastAsia="zh-CN" w:bidi="ar-SA"/>
        </w:rPr>
        <w:t>，成立ACCA项目中心，现开设「ACCA卓越班」—采用周末辅修，复合型培养。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98%的「ACCA卓越班」同学有更强的专业能力与职业能力，毕业进入“四大”及五百强等知名企业更具竞争力。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drawing>
          <wp:inline distT="0" distB="0" distL="114300" distR="114300">
            <wp:extent cx="5262880" cy="2304415"/>
            <wp:effectExtent l="0" t="0" r="13970" b="635"/>
            <wp:docPr id="12" name="图片 12" descr="华南师范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华南师范大学"/>
                    <pic:cNvPicPr>
                      <a:picLocks noChangeAspect="1"/>
                    </pic:cNvPicPr>
                  </pic:nvPicPr>
                  <pic:blipFill>
                    <a:blip r:embed="rId4"/>
                    <a:stretch>
                      <a:fillRect/>
                    </a:stretch>
                  </pic:blipFill>
                  <pic:spPr>
                    <a:xfrm>
                      <a:off x="0" y="0"/>
                      <a:ext cx="5262880" cy="230441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高顿ACCA（广州）是ACCA协会官方认可的华南首家白金级（评定中的最高等级）教育合作伙伴。白金级的评定主要考核通过率、师资、学员服务、学习环境等，需达到官方最高标准。</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drawing>
          <wp:inline distT="0" distB="0" distL="114300" distR="114300">
            <wp:extent cx="304800" cy="304800"/>
            <wp:effectExtent l="0" t="0" r="0" b="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bCs w:val="0"/>
          <w:sz w:val="24"/>
          <w:szCs w:val="24"/>
          <w:lang w:val="en-US" w:eastAsia="zh-CN"/>
        </w:rPr>
        <w:drawing>
          <wp:inline distT="0" distB="0" distL="114300" distR="114300">
            <wp:extent cx="5266690" cy="7018020"/>
            <wp:effectExtent l="0" t="0" r="10160" b="1143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6"/>
                    <a:stretch>
                      <a:fillRect/>
                    </a:stretch>
                  </pic:blipFill>
                  <pic:spPr>
                    <a:xfrm>
                      <a:off x="0" y="0"/>
                      <a:ext cx="5266690" cy="701802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righ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全国首家拥有4个白金级资质的财经教育品牌</w:t>
      </w:r>
    </w:p>
    <w:p>
      <w:pPr>
        <w:keepNext w:val="0"/>
        <w:keepLines w:val="0"/>
        <w:pageBreakBefore w:val="0"/>
        <w:numPr>
          <w:ilvl w:val="0"/>
          <w:numId w:val="0"/>
        </w:numPr>
        <w:kinsoku/>
        <w:wordWrap/>
        <w:overflowPunct/>
        <w:topLinePunct w:val="0"/>
        <w:autoSpaceDE/>
        <w:autoSpaceDN/>
        <w:bidi w:val="0"/>
        <w:adjustRightInd/>
        <w:snapToGrid/>
        <w:spacing w:line="360" w:lineRule="auto"/>
        <w:jc w:val="righ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*高顿网校、上海、广州、南京</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「ACCA卓越班」（周末）响应国家培养复合型人才的号召，打破专业限制，在学生本专业不变的前提下，以</w:t>
      </w:r>
      <w:r>
        <w:rPr>
          <w:rFonts w:hint="eastAsia" w:ascii="微软雅黑" w:hAnsi="微软雅黑" w:eastAsia="微软雅黑" w:cs="微软雅黑"/>
          <w:b/>
          <w:bCs/>
          <w:sz w:val="24"/>
          <w:szCs w:val="24"/>
          <w:lang w:val="en-US" w:eastAsia="zh-CN"/>
        </w:rPr>
        <w:t>周末辅修</w:t>
      </w:r>
      <w:r>
        <w:rPr>
          <w:rFonts w:hint="eastAsia" w:ascii="微软雅黑" w:hAnsi="微软雅黑" w:eastAsia="微软雅黑" w:cs="微软雅黑"/>
          <w:b w:val="0"/>
          <w:bCs w:val="0"/>
          <w:sz w:val="24"/>
          <w:szCs w:val="24"/>
          <w:lang w:val="en-US" w:eastAsia="zh-CN"/>
        </w:rPr>
        <w:t>形式学习ACCA，大学期间可以同时考取含高金量的ACCA国际证书，助力未来职业发展。</w:t>
      </w:r>
      <w:bookmarkStart w:id="0" w:name="_GoBack"/>
      <w:bookmarkEnd w:id="0"/>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此次，华南师范大学经济与管理学院联合高顿教育，汇集大量ACCA资深业内专家，打造优质专业型&amp;复合型人才培养方案，选拔华南师范大学优秀学子加入，培养未来国际财务金融顶尖人才。</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ACCA简介</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特许公认会计师公会( The Association of Chartered Certified Accountants, 简称ACCA) ，是当下中国最具有含金量的财务、金融及管理领域资格证书之一。在中国和全球，ACCA被认为是“高端财会金融行业的通行证”。</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drawing>
          <wp:inline distT="0" distB="0" distL="114300" distR="114300">
            <wp:extent cx="5271770" cy="3156585"/>
            <wp:effectExtent l="0" t="0" r="5080" b="5715"/>
            <wp:docPr id="10" name="图片 10" descr="9f63f7fb0e7091f36bd4eaa638da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f63f7fb0e7091f36bd4eaa638da236"/>
                    <pic:cNvPicPr>
                      <a:picLocks noChangeAspect="1"/>
                    </pic:cNvPicPr>
                  </pic:nvPicPr>
                  <pic:blipFill>
                    <a:blip r:embed="rId7"/>
                    <a:stretch>
                      <a:fillRect/>
                    </a:stretch>
                  </pic:blipFill>
                  <pic:spPr>
                    <a:xfrm>
                      <a:off x="0" y="0"/>
                      <a:ext cx="5271770" cy="3156585"/>
                    </a:xfrm>
                    <a:prstGeom prst="rect">
                      <a:avLst/>
                    </a:prstGeom>
                  </pic:spPr>
                </pic:pic>
              </a:graphicData>
            </a:graphic>
          </wp:inline>
        </w:drawing>
      </w:r>
    </w:p>
    <w:p>
      <w:pPr>
        <w:keepNext w:val="0"/>
        <w:keepLines w:val="0"/>
        <w:pageBreakBefore w:val="0"/>
        <w:numPr>
          <w:ilvl w:val="0"/>
          <w:numId w:val="2"/>
        </w:numPr>
        <w:kinsoku/>
        <w:wordWrap/>
        <w:overflowPunct/>
        <w:topLinePunct w:val="0"/>
        <w:autoSpaceDE/>
        <w:autoSpaceDN/>
        <w:bidi w:val="0"/>
        <w:adjustRightInd/>
        <w:snapToGrid/>
        <w:spacing w:line="360" w:lineRule="auto"/>
        <w:ind w:leftChars="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ACCA名企敲门砖&amp;各地政府政策支持</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ACCA在全球的认可雇主企业近7300家，覆盖事务所、金融服务、科技等众多500强企业，这些企业在同等条件下会优先录取ACCA学员。上海、广州、深圳等全国7个一线二线城市 把ACCA 列入高端人才引进计划。</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lang w:val="en-US" w:eastAsia="zh-CN"/>
        </w:rPr>
        <w:drawing>
          <wp:anchor distT="0" distB="0" distL="114300" distR="114300" simplePos="0" relativeHeight="251659264" behindDoc="0" locked="0" layoutInCell="1" allowOverlap="1">
            <wp:simplePos x="0" y="0"/>
            <wp:positionH relativeFrom="column">
              <wp:posOffset>85090</wp:posOffset>
            </wp:positionH>
            <wp:positionV relativeFrom="paragraph">
              <wp:posOffset>96520</wp:posOffset>
            </wp:positionV>
            <wp:extent cx="4921250" cy="1847850"/>
            <wp:effectExtent l="0" t="0" r="12700" b="0"/>
            <wp:wrapSquare wrapText="bothSides"/>
            <wp:docPr id="2" name="图片 2" descr="人才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人才目录"/>
                    <pic:cNvPicPr>
                      <a:picLocks noChangeAspect="1"/>
                    </pic:cNvPicPr>
                  </pic:nvPicPr>
                  <pic:blipFill>
                    <a:blip r:embed="rId8"/>
                    <a:stretch>
                      <a:fillRect/>
                    </a:stretch>
                  </pic:blipFill>
                  <pic:spPr>
                    <a:xfrm>
                      <a:off x="0" y="0"/>
                      <a:ext cx="4921250" cy="1847850"/>
                    </a:xfrm>
                    <a:prstGeom prst="rect">
                      <a:avLst/>
                    </a:prstGeom>
                  </pic:spPr>
                </pic:pic>
              </a:graphicData>
            </a:graphic>
          </wp:anchor>
        </w:drawing>
      </w:r>
      <w:r>
        <w:rPr>
          <w:rFonts w:hint="eastAsia" w:ascii="微软雅黑" w:hAnsi="微软雅黑" w:eastAsia="微软雅黑" w:cs="微软雅黑"/>
          <w:b w:val="0"/>
          <w:bCs w:val="0"/>
          <w:kern w:val="2"/>
          <w:sz w:val="18"/>
          <w:szCs w:val="18"/>
          <w:lang w:val="en-US" w:eastAsia="zh-CN" w:bidi="ar-SA"/>
        </w:rPr>
        <w:t>把ACCA 列入高端金融人才引进计划</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kern w:val="2"/>
          <w:sz w:val="18"/>
          <w:szCs w:val="18"/>
          <w:lang w:val="en-US" w:eastAsia="zh-CN" w:bidi="ar-SA"/>
        </w:rPr>
        <w:t>上海、广州、深圳等全国7个一线二线城市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微软雅黑" w:hAnsi="微软雅黑" w:eastAsia="微软雅黑" w:cs="微软雅黑"/>
          <w:i w:val="0"/>
          <w:caps w:val="0"/>
          <w:color w:val="565555"/>
          <w:spacing w:val="30"/>
          <w:sz w:val="24"/>
          <w:szCs w:val="24"/>
          <w:lang w:eastAsia="zh-CN"/>
        </w:rPr>
      </w:pPr>
      <w:r>
        <w:rPr>
          <w:rFonts w:hint="eastAsia" w:ascii="微软雅黑" w:hAnsi="微软雅黑" w:eastAsia="微软雅黑" w:cs="微软雅黑"/>
          <w:i w:val="0"/>
          <w:caps w:val="0"/>
          <w:color w:val="565555"/>
          <w:spacing w:val="30"/>
          <w:sz w:val="24"/>
          <w:szCs w:val="24"/>
          <w:lang w:eastAsia="zh-CN"/>
        </w:rPr>
        <w:drawing>
          <wp:anchor distT="0" distB="0" distL="114300" distR="114300" simplePos="0" relativeHeight="251662336" behindDoc="0" locked="0" layoutInCell="1" allowOverlap="1">
            <wp:simplePos x="0" y="0"/>
            <wp:positionH relativeFrom="column">
              <wp:posOffset>328930</wp:posOffset>
            </wp:positionH>
            <wp:positionV relativeFrom="paragraph">
              <wp:posOffset>195580</wp:posOffset>
            </wp:positionV>
            <wp:extent cx="4643755" cy="2728595"/>
            <wp:effectExtent l="0" t="0" r="4445" b="14605"/>
            <wp:wrapSquare wrapText="bothSides"/>
            <wp:docPr id="4" name="图片 4" descr="雇主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雇主企业"/>
                    <pic:cNvPicPr>
                      <a:picLocks noChangeAspect="1"/>
                    </pic:cNvPicPr>
                  </pic:nvPicPr>
                  <pic:blipFill>
                    <a:blip r:embed="rId9"/>
                    <a:stretch>
                      <a:fillRect/>
                    </a:stretch>
                  </pic:blipFill>
                  <pic:spPr>
                    <a:xfrm>
                      <a:off x="0" y="0"/>
                      <a:ext cx="4643755" cy="272859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kern w:val="2"/>
          <w:sz w:val="18"/>
          <w:szCs w:val="18"/>
          <w:lang w:val="en-US" w:eastAsia="zh-CN" w:bidi="ar-SA"/>
        </w:rPr>
        <w:t>ACCA全球有7300家认可雇主 优先选择ACCA持证人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微软雅黑" w:hAnsi="微软雅黑" w:eastAsia="微软雅黑" w:cs="微软雅黑"/>
          <w:i w:val="0"/>
          <w:caps w:val="0"/>
          <w:color w:val="565555"/>
          <w:spacing w:val="3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微软雅黑" w:hAnsi="微软雅黑" w:eastAsia="微软雅黑" w:cs="微软雅黑"/>
          <w:b w:val="0"/>
          <w:bCs w:val="0"/>
          <w:kern w:val="2"/>
          <w:sz w:val="18"/>
          <w:szCs w:val="18"/>
          <w:lang w:val="en-US" w:eastAsia="zh-CN" w:bidi="ar-S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三、ACCA卓越班-培养目标及优势</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 「ACCA卓越班」（周末）简介</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①华南师范大学同</w:t>
      </w:r>
      <w:r>
        <w:rPr>
          <w:rFonts w:hint="eastAsia" w:ascii="微软雅黑" w:hAnsi="微软雅黑" w:eastAsia="微软雅黑" w:cs="微软雅黑"/>
          <w:b/>
          <w:bCs/>
          <w:sz w:val="24"/>
          <w:szCs w:val="24"/>
          <w:lang w:val="en-US" w:eastAsia="zh-CN"/>
        </w:rPr>
        <w:t>ACCA白金级教学伙伴——高顿教育</w:t>
      </w:r>
      <w:r>
        <w:rPr>
          <w:rFonts w:hint="eastAsia" w:ascii="微软雅黑" w:hAnsi="微软雅黑" w:eastAsia="微软雅黑" w:cs="微软雅黑"/>
          <w:sz w:val="24"/>
          <w:szCs w:val="24"/>
          <w:lang w:val="en-US" w:eastAsia="zh-CN"/>
        </w:rPr>
        <w:t xml:space="preserve">共同创立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②来自上财、中大等27家高校 学术专家指导委员会学术导师</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③四大、知名投资银行等众多名企高管 职业发展委员会职业导师</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④选拔进入 ：本专业+国际注会——复合型专业人才培养，双学位+本硕连读</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4"/>
          <w:szCs w:val="24"/>
          <w:lang w:val="en-US" w:eastAsia="zh-CN"/>
        </w:rPr>
      </w:pPr>
    </w:p>
    <w:p>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「ACCA卓越班」获取名校双学位</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ACCA卓越班学员：双学位+本硕连读</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①通过3科可申请：</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ACCA 初级商业会计资格证书 </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②通过9科可申请：</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ACCA 高级商业会计资格证书</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英国牛津布鲁克斯大学本科学位（会计学）</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③通过11科及以上可申请： </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伦敦大学硕士学位</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*海外学位申请无需出国</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4"/>
          <w:szCs w:val="24"/>
          <w:lang w:val="en-US" w:eastAsia="zh-CN"/>
        </w:rPr>
      </w:pPr>
    </w:p>
    <w:p>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「ACCA卓越班」部分老师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z w:val="24"/>
          <w:szCs w:val="24"/>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微软雅黑" w:hAnsi="微软雅黑" w:eastAsia="微软雅黑" w:cs="微软雅黑"/>
          <w:i w:val="0"/>
          <w:caps w:val="0"/>
          <w:color w:val="565555"/>
          <w:spacing w:val="30"/>
          <w:sz w:val="24"/>
          <w:szCs w:val="24"/>
          <w:lang w:val="en-US" w:eastAsia="zh-CN"/>
        </w:rPr>
      </w:pPr>
      <w:r>
        <w:rPr>
          <w:rFonts w:hint="eastAsia" w:ascii="微软雅黑" w:hAnsi="微软雅黑" w:eastAsia="微软雅黑" w:cs="微软雅黑"/>
          <w:i w:val="0"/>
          <w:caps w:val="0"/>
          <w:color w:val="565555"/>
          <w:spacing w:val="30"/>
          <w:sz w:val="24"/>
          <w:szCs w:val="24"/>
          <w:lang w:val="en-US" w:eastAsia="zh-CN"/>
        </w:rPr>
        <w:drawing>
          <wp:inline distT="0" distB="0" distL="114300" distR="114300">
            <wp:extent cx="3810000" cy="3200400"/>
            <wp:effectExtent l="0" t="0" r="0" b="0"/>
            <wp:docPr id="6" name="图片 6" descr="名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名师"/>
                    <pic:cNvPicPr>
                      <a:picLocks noChangeAspect="1"/>
                    </pic:cNvPicPr>
                  </pic:nvPicPr>
                  <pic:blipFill>
                    <a:blip r:embed="rId10"/>
                    <a:stretch>
                      <a:fillRect/>
                    </a:stretch>
                  </pic:blipFill>
                  <pic:spPr>
                    <a:xfrm>
                      <a:off x="0" y="0"/>
                      <a:ext cx="3810000" cy="3200400"/>
                    </a:xfrm>
                    <a:prstGeom prst="rect">
                      <a:avLst/>
                    </a:prstGeom>
                  </pic:spPr>
                </pic:pic>
              </a:graphicData>
            </a:graphic>
          </wp:inline>
        </w:drawing>
      </w:r>
      <w:r>
        <w:rPr>
          <w:rFonts w:hint="eastAsia" w:ascii="微软雅黑" w:hAnsi="微软雅黑" w:eastAsia="微软雅黑" w:cs="微软雅黑"/>
          <w:i w:val="0"/>
          <w:caps w:val="0"/>
          <w:color w:val="565555"/>
          <w:spacing w:val="30"/>
          <w:sz w:val="24"/>
          <w:szCs w:val="24"/>
          <w:lang w:val="en-US" w:eastAsia="zh-CN"/>
        </w:rPr>
        <w:drawing>
          <wp:inline distT="0" distB="0" distL="114300" distR="114300">
            <wp:extent cx="4076700" cy="2990850"/>
            <wp:effectExtent l="0" t="0" r="0" b="0"/>
            <wp:docPr id="5" name="图片 5" descr="名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名师1"/>
                    <pic:cNvPicPr>
                      <a:picLocks noChangeAspect="1"/>
                    </pic:cNvPicPr>
                  </pic:nvPicPr>
                  <pic:blipFill>
                    <a:blip r:embed="rId11"/>
                    <a:stretch>
                      <a:fillRect/>
                    </a:stretch>
                  </pic:blipFill>
                  <pic:spPr>
                    <a:xfrm>
                      <a:off x="0" y="0"/>
                      <a:ext cx="4076700" cy="299085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微软雅黑" w:hAnsi="微软雅黑" w:eastAsia="微软雅黑" w:cs="微软雅黑"/>
          <w:i w:val="0"/>
          <w:caps w:val="0"/>
          <w:color w:val="565555"/>
          <w:spacing w:val="30"/>
          <w:sz w:val="24"/>
          <w:szCs w:val="24"/>
          <w:lang w:val="en-US" w:eastAsia="zh-CN"/>
        </w:rPr>
      </w:pPr>
    </w:p>
    <w:p>
      <w:pPr>
        <w:pStyle w:val="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leftChars="0" w:right="0" w:firstLine="0" w:firstLineChars="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ACCA卓越班 学术/职业发展委员会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孙铮教授</w:t>
      </w:r>
      <w:r>
        <w:rPr>
          <w:rFonts w:hint="eastAsia" w:ascii="微软雅黑" w:hAnsi="微软雅黑" w:eastAsia="微软雅黑" w:cs="微软雅黑"/>
          <w:sz w:val="24"/>
          <w:szCs w:val="24"/>
        </w:rPr>
        <w:t>——上海财经大学学术委员会主席、副校长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郑国坚教授</w:t>
      </w:r>
      <w:r>
        <w:rPr>
          <w:rFonts w:hint="eastAsia" w:ascii="微软雅黑" w:hAnsi="微软雅黑" w:eastAsia="微软雅黑" w:cs="微软雅黑"/>
          <w:sz w:val="24"/>
          <w:szCs w:val="24"/>
        </w:rPr>
        <w:t>——中山大学管理学院副院长、财政部会计领军人才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曲晓辉教授</w:t>
      </w:r>
      <w:r>
        <w:rPr>
          <w:rFonts w:hint="eastAsia" w:ascii="微软雅黑" w:hAnsi="微软雅黑" w:eastAsia="微软雅黑" w:cs="微软雅黑"/>
          <w:sz w:val="24"/>
          <w:szCs w:val="24"/>
        </w:rPr>
        <w:t>——厦门大学会计学教授、国务院政府特殊津贴获得者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王华教授</w:t>
      </w:r>
      <w:r>
        <w:rPr>
          <w:rFonts w:hint="eastAsia" w:ascii="微软雅黑" w:hAnsi="微软雅黑" w:eastAsia="微软雅黑" w:cs="微软雅黑"/>
          <w:sz w:val="24"/>
          <w:szCs w:val="24"/>
        </w:rPr>
        <w:t>——原广东财经大学校长、中国会计教育专业委员 会副主任委员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王国蓓女士</w:t>
      </w:r>
      <w:r>
        <w:rPr>
          <w:rFonts w:hint="eastAsia" w:ascii="微软雅黑" w:hAnsi="微软雅黑" w:eastAsia="微软雅黑" w:cs="微软雅黑"/>
          <w:sz w:val="24"/>
          <w:szCs w:val="24"/>
        </w:rPr>
        <w:t>——毕马威企业咨询（中国）有限公司 证券及基金业主管合伙人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徐殿勇先生</w:t>
      </w:r>
      <w:r>
        <w:rPr>
          <w:rFonts w:hint="eastAsia" w:ascii="微软雅黑" w:hAnsi="微软雅黑" w:eastAsia="微软雅黑" w:cs="微软雅黑"/>
          <w:sz w:val="24"/>
          <w:szCs w:val="24"/>
        </w:rPr>
        <w:t>——阿里巴巴集团  财务高级总监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黄文先生</w:t>
      </w:r>
      <w:r>
        <w:rPr>
          <w:rFonts w:hint="eastAsia" w:ascii="微软雅黑" w:hAnsi="微软雅黑" w:eastAsia="微软雅黑" w:cs="微软雅黑"/>
          <w:sz w:val="24"/>
          <w:szCs w:val="24"/>
        </w:rPr>
        <w:t>——安永大中华区人力资源主管合伙人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4"/>
          <w:szCs w:val="24"/>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四、「ACCA卓越班」-精英赛事</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1暑假ACCA未来财经精英训练营</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5266690" cy="2228850"/>
            <wp:effectExtent l="0" t="0" r="10160" b="0"/>
            <wp:docPr id="7" name="图片 7" descr="比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比赛"/>
                    <pic:cNvPicPr>
                      <a:picLocks noChangeAspect="1"/>
                    </pic:cNvPicPr>
                  </pic:nvPicPr>
                  <pic:blipFill>
                    <a:blip r:embed="rId12"/>
                    <a:stretch>
                      <a:fillRect/>
                    </a:stretch>
                  </pic:blipFill>
                  <pic:spPr>
                    <a:xfrm>
                      <a:off x="0" y="0"/>
                      <a:ext cx="5266690" cy="2228850"/>
                    </a:xfrm>
                    <a:prstGeom prst="rect">
                      <a:avLst/>
                    </a:prstGeom>
                  </pic:spPr>
                </pic:pic>
              </a:graphicData>
            </a:graphic>
          </wp:inline>
        </w:drawing>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 ACCA 全国就业力大比拼</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center"/>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i w:val="0"/>
          <w:caps w:val="0"/>
          <w:color w:val="565555"/>
          <w:spacing w:val="30"/>
          <w:sz w:val="24"/>
          <w:szCs w:val="24"/>
          <w:lang w:val="en-US" w:eastAsia="zh-CN"/>
        </w:rPr>
        <w:drawing>
          <wp:inline distT="0" distB="0" distL="114300" distR="114300">
            <wp:extent cx="3911600" cy="1278255"/>
            <wp:effectExtent l="0" t="0" r="12700" b="17145"/>
            <wp:docPr id="8" name="图片 8" descr="比赛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比赛3"/>
                    <pic:cNvPicPr>
                      <a:picLocks noChangeAspect="1"/>
                    </pic:cNvPicPr>
                  </pic:nvPicPr>
                  <pic:blipFill>
                    <a:blip r:embed="rId13"/>
                    <a:stretch>
                      <a:fillRect/>
                    </a:stretch>
                  </pic:blipFill>
                  <pic:spPr>
                    <a:xfrm>
                      <a:off x="0" y="0"/>
                      <a:ext cx="3911600" cy="1278255"/>
                    </a:xfrm>
                    <a:prstGeom prst="rect">
                      <a:avLst/>
                    </a:prstGeom>
                  </pic:spPr>
                </pic:pic>
              </a:graphicData>
            </a:graphic>
          </wp:inline>
        </w:drawing>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微软雅黑" w:hAnsi="微软雅黑" w:eastAsia="微软雅黑" w:cs="微软雅黑"/>
          <w:i w:val="0"/>
          <w:caps w:val="0"/>
          <w:color w:val="565555"/>
          <w:spacing w:val="30"/>
          <w:sz w:val="24"/>
          <w:szCs w:val="24"/>
          <w:lang w:val="en-US" w:eastAsia="zh-CN"/>
        </w:rPr>
      </w:pPr>
      <w:r>
        <w:rPr>
          <w:rFonts w:hint="eastAsia" w:ascii="微软雅黑" w:hAnsi="微软雅黑" w:eastAsia="微软雅黑" w:cs="微软雅黑"/>
          <w:i w:val="0"/>
          <w:caps w:val="0"/>
          <w:color w:val="565555"/>
          <w:spacing w:val="30"/>
          <w:sz w:val="24"/>
          <w:szCs w:val="24"/>
          <w:lang w:val="en-US" w:eastAsia="zh-CN"/>
        </w:rPr>
        <w:drawing>
          <wp:anchor distT="0" distB="0" distL="114300" distR="114300" simplePos="0" relativeHeight="251663360" behindDoc="0" locked="0" layoutInCell="1" allowOverlap="1">
            <wp:simplePos x="0" y="0"/>
            <wp:positionH relativeFrom="column">
              <wp:posOffset>675640</wp:posOffset>
            </wp:positionH>
            <wp:positionV relativeFrom="paragraph">
              <wp:posOffset>31750</wp:posOffset>
            </wp:positionV>
            <wp:extent cx="3944620" cy="1306830"/>
            <wp:effectExtent l="0" t="0" r="17780" b="7620"/>
            <wp:wrapSquare wrapText="bothSides"/>
            <wp:docPr id="9" name="图片 9" descr="比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比赛2"/>
                    <pic:cNvPicPr>
                      <a:picLocks noChangeAspect="1"/>
                    </pic:cNvPicPr>
                  </pic:nvPicPr>
                  <pic:blipFill>
                    <a:blip r:embed="rId14"/>
                    <a:stretch>
                      <a:fillRect/>
                    </a:stretch>
                  </pic:blipFill>
                  <pic:spPr>
                    <a:xfrm>
                      <a:off x="0" y="0"/>
                      <a:ext cx="3944620" cy="1306830"/>
                    </a:xfrm>
                    <a:prstGeom prst="rect">
                      <a:avLst/>
                    </a:prstGeom>
                  </pic:spPr>
                </pic:pic>
              </a:graphicData>
            </a:graphic>
          </wp:anchor>
        </w:drawing>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微软雅黑" w:hAnsi="微软雅黑" w:eastAsia="微软雅黑" w:cs="微软雅黑"/>
          <w:i w:val="0"/>
          <w:caps w:val="0"/>
          <w:color w:val="565555"/>
          <w:spacing w:val="30"/>
          <w:sz w:val="24"/>
          <w:szCs w:val="24"/>
          <w:lang w:val="en-US" w:eastAsia="zh-CN"/>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微软雅黑" w:hAnsi="微软雅黑" w:eastAsia="微软雅黑" w:cs="微软雅黑"/>
          <w:b/>
          <w:bCs/>
          <w:sz w:val="28"/>
          <w:szCs w:val="28"/>
          <w:lang w:val="en-US" w:eastAsia="zh-CN"/>
        </w:rPr>
      </w:pP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五、选拔流程及相关事项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1「ACCA卓越班」问答区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01.ACCA学习难不难？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ACCA的学习循序渐进，由浅入深，由0到1，即便零基础也能开始学习ACCA，考取证书平均通过时间在2~2.5年左右。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ACCA共有13门课需要全球统考，F1-F4随时预约机考，每个月均可以参与考试，F5-F9和P阶段分季机考（3月、6月、9月、12月）一年至多可报考8门。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02.ACCA对数学要求高不高？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ACCA对于数学要求不高，不涉及微积分、函数，线性代数等专业化数学领域知识。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03.金融专业有必要考ACCA吗？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很有必要的，金融和财会一直是知识相互交叉，相互促进的。金融财会不分家，在金融工作中处理财务报表时经常会涉及到一些财会方面的知识。金融专业学习ACCA，能够成长为兼具金融特长与财务管理技能的国际化人才。未来就业前景十分广泛，提升国际商业领袖的深度和广度。ACCA证书使得拥有财务、结算、税务等财会方面知识和经验的金融专业人才在行业内具有相当大的优势和市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04.考取ACCA后期对应主要工作内容什么，只是出纳做账吗？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ACCA卓越班主要培养管理，战略型人才，并非出纳做账等简单财务会计工作，主要工作岗位为会计师事务所审计税务岗位，500强企业财务体系等。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05.ACCA是否全英教学，英语基础差是否能学习ACCA？</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CCA卓越班授课模式为中英文结合，入门启蒙以中文为主，技能阶段中英对半，战略科目和选修以英文为主，逐步提升专业英语能力；原则上，高考英语分数100分以上即满足学习条件；ACCA的学习能大幅度提升英语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06.学习ACCA对考研或出国留学有帮助吗？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有。对于有志于考研尤其是想考985、211研究生，或者出国留学的同学，ACCA都能提供极大的帮助，是学历深造的敲门砖；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并且在学习ACCA的过程中，不出国门即可申请英国牛津布鲁克斯大学的本科学位以及伦敦大学的硕士学位。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07.ACCA证书与其他财经类资格证书有何区别?</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ACCA是一个大学期间可以考出来的一个高端证书，当下最具含金量的财务、金融及管理领域资格证书之一。行业认可覆盖率高，就业前景广阔。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CPA属于偏重于审计方向的会计资格证书，本科毕业之后方可报考，且准则每年都在变动，本科在校大学生专门学习用处不大；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CMA资格证书为管理会计框架性内容，考试难度偏低，国内认可度与含金量不及ACCA。</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2「ACCA卓越班」选拔流程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01. 递交ACCA卓越班申请表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02. 参与ACCA卓越班选拔面试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03. 通过选拔，确认缴费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04. 加入ACCA卓越班（周末）</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咨询地点：</w:t>
      </w:r>
      <w:r>
        <w:rPr>
          <w:rFonts w:hint="eastAsia" w:ascii="微软雅黑" w:hAnsi="微软雅黑" w:eastAsia="微软雅黑" w:cs="微软雅黑"/>
          <w:sz w:val="24"/>
          <w:szCs w:val="24"/>
          <w:lang w:val="en-US" w:eastAsia="zh-CN"/>
        </w:rPr>
        <w:t>文3栋507室</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上课地点：</w:t>
      </w:r>
      <w:r>
        <w:rPr>
          <w:rFonts w:hint="eastAsia" w:ascii="微软雅黑" w:hAnsi="微软雅黑" w:eastAsia="微软雅黑" w:cs="微软雅黑"/>
          <w:sz w:val="24"/>
          <w:szCs w:val="24"/>
          <w:lang w:val="en-US" w:eastAsia="zh-CN"/>
        </w:rPr>
        <w:t>华南师范大学-大学城校区 校内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致电咨询：</w:t>
      </w:r>
      <w:r>
        <w:rPr>
          <w:rFonts w:hint="eastAsia" w:ascii="微软雅黑" w:hAnsi="微软雅黑" w:eastAsia="微软雅黑" w:cs="微软雅黑"/>
          <w:sz w:val="24"/>
          <w:szCs w:val="24"/>
          <w:lang w:val="en-US" w:eastAsia="zh-CN"/>
        </w:rPr>
        <w:t>ACCA项目中心Aileen老师</w:t>
      </w:r>
      <w:r>
        <w:rPr>
          <w:rFonts w:hint="eastAsia" w:ascii="微软雅黑" w:hAnsi="微软雅黑" w:eastAsia="微软雅黑" w:cs="微软雅黑"/>
          <w:b/>
          <w:bCs/>
          <w:sz w:val="24"/>
          <w:szCs w:val="24"/>
          <w:lang w:val="en-US" w:eastAsia="zh-CN"/>
        </w:rPr>
        <w:t>180-2643-1583</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微信咨询：</w:t>
      </w:r>
      <w:r>
        <w:rPr>
          <w:rFonts w:hint="eastAsia" w:ascii="微软雅黑" w:hAnsi="微软雅黑" w:eastAsia="微软雅黑" w:cs="微软雅黑"/>
          <w:sz w:val="24"/>
          <w:szCs w:val="24"/>
          <w:lang w:val="en-US" w:eastAsia="zh-CN"/>
        </w:rPr>
        <w:t>扫码添加Aileen老师微信即可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5087"/>
        </w:tabs>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1682115" cy="1688465"/>
            <wp:effectExtent l="0" t="0" r="13335" b="6985"/>
            <wp:docPr id="3" name="图片 3" descr="Ail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ileen"/>
                    <pic:cNvPicPr>
                      <a:picLocks noChangeAspect="1"/>
                    </pic:cNvPicPr>
                  </pic:nvPicPr>
                  <pic:blipFill>
                    <a:blip r:embed="rId15"/>
                    <a:stretch>
                      <a:fillRect/>
                    </a:stretch>
                  </pic:blipFill>
                  <pic:spPr>
                    <a:xfrm>
                      <a:off x="0" y="0"/>
                      <a:ext cx="1682115" cy="1688465"/>
                    </a:xfrm>
                    <a:prstGeom prst="rect">
                      <a:avLst/>
                    </a:prstGeom>
                  </pic:spPr>
                </pic:pic>
              </a:graphicData>
            </a:graphic>
          </wp:inline>
        </w:drawing>
      </w:r>
      <w:r>
        <w:rPr>
          <w:rFonts w:hint="eastAsia" w:ascii="微软雅黑" w:hAnsi="微软雅黑" w:eastAsia="微软雅黑" w:cs="微软雅黑"/>
          <w:sz w:val="24"/>
          <w:szCs w:val="24"/>
          <w:lang w:val="en-US" w:eastAsia="zh-CN"/>
        </w:rPr>
        <w:tab/>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ACCA卓越班 申请表二维码：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1511935" cy="1511935"/>
            <wp:effectExtent l="0" t="0" r="12065" b="12065"/>
            <wp:docPr id="1" name="图片 1" descr="咨询表︱华南师范大学_二维码_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咨询表︱华南师范大学_二维码_小"/>
                    <pic:cNvPicPr>
                      <a:picLocks noChangeAspect="1"/>
                    </pic:cNvPicPr>
                  </pic:nvPicPr>
                  <pic:blipFill>
                    <a:blip r:embed="rId16"/>
                    <a:stretch>
                      <a:fillRect/>
                    </a:stretch>
                  </pic:blipFill>
                  <pic:spPr>
                    <a:xfrm>
                      <a:off x="0" y="0"/>
                      <a:ext cx="1511935" cy="1511935"/>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相关网址：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华南师范大学经济与管理学院官网：http://em.scnu.edu.cn/</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ACCA中国官网：http://cn.accaglobal.com</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卓越班学术合作方高顿教育官网：http://www.gaodun.com/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6FD07A"/>
    <w:multiLevelType w:val="singleLevel"/>
    <w:tmpl w:val="956FD07A"/>
    <w:lvl w:ilvl="0" w:tentative="0">
      <w:start w:val="1"/>
      <w:numFmt w:val="chineseCounting"/>
      <w:suff w:val="nothing"/>
      <w:lvlText w:val="%1、"/>
      <w:lvlJc w:val="left"/>
      <w:rPr>
        <w:rFonts w:hint="eastAsia"/>
      </w:rPr>
    </w:lvl>
  </w:abstractNum>
  <w:abstractNum w:abstractNumId="1">
    <w:nsid w:val="20EB009C"/>
    <w:multiLevelType w:val="singleLevel"/>
    <w:tmpl w:val="20EB009C"/>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B2599E"/>
    <w:rsid w:val="048334C3"/>
    <w:rsid w:val="05696981"/>
    <w:rsid w:val="09A7072C"/>
    <w:rsid w:val="09E51CA3"/>
    <w:rsid w:val="0D375974"/>
    <w:rsid w:val="11516D60"/>
    <w:rsid w:val="152A3B31"/>
    <w:rsid w:val="1C5C1539"/>
    <w:rsid w:val="1D9129F8"/>
    <w:rsid w:val="2007227C"/>
    <w:rsid w:val="205E7324"/>
    <w:rsid w:val="233D4D48"/>
    <w:rsid w:val="24824FE7"/>
    <w:rsid w:val="28C51BB8"/>
    <w:rsid w:val="2A0579C9"/>
    <w:rsid w:val="2B18097B"/>
    <w:rsid w:val="2FA20FFA"/>
    <w:rsid w:val="34E03C6B"/>
    <w:rsid w:val="37022E1C"/>
    <w:rsid w:val="39F40537"/>
    <w:rsid w:val="3CBA4D7E"/>
    <w:rsid w:val="3F8810E5"/>
    <w:rsid w:val="43D90F03"/>
    <w:rsid w:val="4C0D02F6"/>
    <w:rsid w:val="4C7328E4"/>
    <w:rsid w:val="50137713"/>
    <w:rsid w:val="54E665EA"/>
    <w:rsid w:val="571A60A8"/>
    <w:rsid w:val="59421C68"/>
    <w:rsid w:val="61A862CB"/>
    <w:rsid w:val="61D80E16"/>
    <w:rsid w:val="62216346"/>
    <w:rsid w:val="662F6868"/>
    <w:rsid w:val="674D7C7D"/>
    <w:rsid w:val="69EF5E81"/>
    <w:rsid w:val="6C7D2EB1"/>
    <w:rsid w:val="6E7C1BE4"/>
    <w:rsid w:val="70EC166D"/>
    <w:rsid w:val="745A17D6"/>
    <w:rsid w:val="794F76B7"/>
    <w:rsid w:val="7B7801F6"/>
    <w:rsid w:val="7DA33C92"/>
    <w:rsid w:val="7E160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2019-11-25T07:54:00Z</dcterms:created>
  <dc:creator>GAODUN</dc:creator>
  <cp:lastModifiedBy>Haru Haru</cp:lastModifiedBy>
  <dcterms:modified xsi:type="dcterms:W3CDTF">2020-01-08T09:04:41Z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