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仿宋_GB2312" w:hAnsi="仿宋_GB2312" w:eastAsia="仿宋_GB2312" w:cs="仿宋_GB2312"/>
          <w:b/>
          <w:bCs/>
          <w:sz w:val="44"/>
          <w:szCs w:val="44"/>
        </w:rPr>
      </w:pPr>
      <w:r>
        <w:rPr>
          <w:rFonts w:hint="eastAsia" w:ascii="仿宋_GB2312" w:hAnsi="仿宋_GB2312" w:eastAsia="仿宋_GB2312" w:cs="仿宋_GB2312"/>
          <w:b/>
          <w:bCs/>
          <w:sz w:val="44"/>
          <w:szCs w:val="44"/>
        </w:rPr>
        <w:t>资产盘点操作指引</w:t>
      </w:r>
    </w:p>
    <w:p>
      <w:pPr>
        <w:jc w:val="center"/>
        <w:rPr>
          <w:rFonts w:ascii="仿宋_GB2312" w:hAnsi="仿宋_GB2312" w:eastAsia="仿宋_GB2312" w:cs="仿宋_GB2312"/>
          <w:b/>
          <w:bCs/>
          <w:sz w:val="44"/>
          <w:szCs w:val="44"/>
        </w:rPr>
      </w:pPr>
    </w:p>
    <w:p>
      <w:pPr>
        <w:pStyle w:val="3"/>
        <w:rPr>
          <w:rFonts w:ascii="仿宋_GB2312" w:hAnsi="仿宋_GB2312" w:eastAsia="仿宋_GB2312" w:cs="仿宋_GB2312"/>
          <w:bCs/>
          <w:szCs w:val="32"/>
        </w:rPr>
      </w:pPr>
      <w:r>
        <w:rPr>
          <w:rFonts w:hint="eastAsia" w:ascii="仿宋_GB2312" w:hAnsi="仿宋_GB2312" w:eastAsia="仿宋_GB2312" w:cs="仿宋_GB2312"/>
          <w:bCs/>
          <w:szCs w:val="32"/>
          <w:lang w:eastAsia="zh-CN"/>
        </w:rPr>
        <w:t>一</w:t>
      </w:r>
      <w:r>
        <w:rPr>
          <w:rFonts w:hint="eastAsia" w:ascii="仿宋_GB2312" w:hAnsi="仿宋_GB2312" w:eastAsia="仿宋_GB2312" w:cs="仿宋_GB2312"/>
          <w:bCs/>
          <w:szCs w:val="32"/>
        </w:rPr>
        <w:t>、个人业务实施盘点</w:t>
      </w:r>
      <w:r>
        <w:rPr>
          <w:rFonts w:hint="eastAsia" w:ascii="仿宋_GB2312" w:hAnsi="仿宋_GB2312" w:eastAsia="仿宋_GB2312" w:cs="仿宋_GB2312"/>
          <w:bCs/>
          <w:szCs w:val="32"/>
        </w:rPr>
        <w:tab/>
      </w:r>
      <w:r>
        <w:rPr>
          <w:rFonts w:hint="eastAsia" w:ascii="仿宋_GB2312" w:hAnsi="仿宋_GB2312" w:eastAsia="仿宋_GB2312" w:cs="仿宋_GB2312"/>
          <w:bCs/>
          <w:szCs w:val="32"/>
        </w:rPr>
        <w:t xml:space="preserve">  </w:t>
      </w:r>
    </w:p>
    <w:p>
      <w:pPr>
        <w:pStyle w:val="4"/>
        <w:rPr>
          <w:rFonts w:ascii="仿宋_GB2312" w:hAnsi="仿宋_GB2312" w:eastAsia="仿宋_GB2312" w:cs="仿宋_GB2312"/>
          <w:b w:val="0"/>
          <w:bCs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1.领用人PC端盘点</w:t>
      </w:r>
    </w:p>
    <w:p>
      <w:pPr>
        <w:pStyle w:val="4"/>
        <w:spacing w:line="240" w:lineRule="auto"/>
        <w:ind w:firstLine="560" w:firstLineChars="200"/>
        <w:rPr>
          <w:rFonts w:ascii="仿宋_GB2312" w:hAnsi="仿宋_GB2312" w:eastAsia="仿宋_GB2312" w:cs="仿宋_GB2312"/>
          <w:b w:val="0"/>
          <w:bCs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个人盘点在个人首页“我的待办”事项，点击“处理”进入盘点页面，操作如下图所示：</w:t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drawing>
          <wp:inline distT="0" distB="0" distL="0" distR="0">
            <wp:extent cx="5274310" cy="2142490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line="240" w:lineRule="auto"/>
        <w:ind w:firstLine="560" w:firstLineChars="200"/>
        <w:rPr>
          <w:rFonts w:ascii="仿宋_GB2312" w:hAnsi="仿宋_GB2312" w:eastAsia="仿宋_GB2312" w:cs="仿宋_GB2312"/>
          <w:b w:val="0"/>
          <w:bCs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盘点资产列表下，对资产实施盘点，进行账实核查，根据资产使用情况填写相应内容，点击“保存结果”完成盘点，操作如下图所示：</w:t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5266690" cy="2414270"/>
            <wp:effectExtent l="0" t="0" r="10160" b="5080"/>
            <wp:docPr id="8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5266690" cy="2306955"/>
            <wp:effectExtent l="0" t="0" r="10160" b="17145"/>
            <wp:docPr id="8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2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</w:rPr>
        <w:t>填写步骤如下：</w:t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（1）确认资产照片是否完整，若系统内该资产没有照片，请补传实物照片；</w:t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（2）填写资产存放地，若同一存放地可勾选“以下相同”进行批量填写；</w:t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（3）确认资产盘点结果，结果分为“账实相符”“有账无物”两种情况，资产在“账实相符”的前提下，须填写资产的使用状况，根据具体使用情况勾选“在用”“闲置”“报废”“标签缺损”等；</w:t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（4）在“有账无物”的情况下，须对该资产进行结果说明。</w:t>
      </w: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逐步完成以上操作步骤后，点击右侧小方块选中要盘点的资产，点击“保存结果”，完成个人资产的盘点任务。</w:t>
      </w:r>
    </w:p>
    <w:p>
      <w:pPr>
        <w:pStyle w:val="3"/>
        <w:rPr>
          <w:rFonts w:ascii="仿宋_GB2312" w:hAnsi="仿宋_GB2312" w:eastAsia="仿宋_GB2312" w:cs="仿宋_GB2312"/>
          <w:bCs/>
          <w:szCs w:val="32"/>
        </w:rPr>
      </w:pPr>
      <w:r>
        <w:rPr>
          <w:rFonts w:hint="eastAsia" w:ascii="仿宋_GB2312" w:hAnsi="仿宋_GB2312" w:eastAsia="仿宋_GB2312" w:cs="仿宋_GB2312"/>
          <w:bCs/>
          <w:szCs w:val="32"/>
          <w:lang w:eastAsia="zh-CN"/>
        </w:rPr>
        <w:t>二</w:t>
      </w:r>
      <w:r>
        <w:rPr>
          <w:rFonts w:hint="eastAsia" w:ascii="仿宋_GB2312" w:hAnsi="仿宋_GB2312" w:eastAsia="仿宋_GB2312" w:cs="仿宋_GB2312"/>
          <w:bCs/>
          <w:szCs w:val="32"/>
        </w:rPr>
        <w:t>、单位业务实施盘点</w:t>
      </w:r>
    </w:p>
    <w:p>
      <w:pPr>
        <w:pStyle w:val="4"/>
        <w:rPr>
          <w:rFonts w:ascii="仿宋_GB2312" w:hAnsi="仿宋_GB2312" w:eastAsia="仿宋_GB2312" w:cs="仿宋_GB2312"/>
          <w:b w:val="0"/>
          <w:bCs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1.单位资产管理员PC端盘点</w:t>
      </w:r>
    </w:p>
    <w:p>
      <w:pPr>
        <w:pStyle w:val="4"/>
        <w:spacing w:line="240" w:lineRule="auto"/>
        <w:ind w:firstLine="560" w:firstLineChars="200"/>
        <w:rPr>
          <w:rFonts w:ascii="仿宋_GB2312" w:hAnsi="仿宋_GB2312" w:eastAsia="仿宋_GB2312" w:cs="仿宋_GB2312"/>
          <w:b w:val="0"/>
          <w:bCs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在单位业务首页，点击“待处理”进入待处理业务列表，点击“处理”实施盘点，如下图所示：</w:t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5266690" cy="2112010"/>
            <wp:effectExtent l="0" t="0" r="10160" b="2540"/>
            <wp:docPr id="9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2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560" w:hanging="560" w:hanging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5271770" cy="1783715"/>
            <wp:effectExtent l="0" t="0" r="5080" b="6985"/>
            <wp:docPr id="9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560" w:hanging="560" w:hangingChars="200"/>
        <w:rPr>
          <w:rFonts w:ascii="仿宋_GB2312" w:hAnsi="仿宋_GB2312" w:eastAsia="仿宋_GB2312" w:cs="仿宋_GB2312"/>
          <w:sz w:val="28"/>
          <w:szCs w:val="28"/>
        </w:rPr>
      </w:pP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bidi="ar"/>
        </w:rPr>
        <w:t>点击“去盘点”，可查看单位内资产盘点情况，单位管理员可对单位下待盘点资产进行盘点，依次填写“新存放地”“盘点结果”“使用状况”“结果说明”并“补全照片”，点击“保存结果”完成资产盘点。如下图所示：</w:t>
      </w:r>
    </w:p>
    <w:p>
      <w:r>
        <w:drawing>
          <wp:inline distT="0" distB="0" distL="0" distR="0">
            <wp:extent cx="5274310" cy="250253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5266690" cy="2466340"/>
            <wp:effectExtent l="0" t="0" r="10160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若已盘点资产使用状况为“标签缺损”，请及时补打标签并张贴，完成新标签张贴后，可在已盘点下，对该资产“标记已粘贴标签”，如下图所示：</w:t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drawing>
          <wp:inline distT="0" distB="0" distL="114300" distR="114300">
            <wp:extent cx="5266690" cy="1462405"/>
            <wp:effectExtent l="0" t="0" r="10160" b="4445"/>
            <wp:docPr id="3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240" w:lineRule="auto"/>
        <w:ind w:firstLine="560" w:firstLineChars="200"/>
        <w:rPr>
          <w:rFonts w:ascii="仿宋_GB2312" w:hAnsi="仿宋_GB2312" w:eastAsia="仿宋_GB2312" w:cs="仿宋_GB2312"/>
          <w:b w:val="0"/>
          <w:bCs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点击“录入盘盈”，填写“资产名称”“资产现状”“数量”“领用人”等信息对有物无账的资产进行录入，操作如下图所示：</w:t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5266690" cy="1755775"/>
            <wp:effectExtent l="0" t="0" r="10160" b="158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5266690" cy="2136775"/>
            <wp:effectExtent l="0" t="0" r="10160" b="158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</w:p>
    <w:p>
      <w:pPr>
        <w:pStyle w:val="4"/>
        <w:spacing w:line="240" w:lineRule="auto"/>
        <w:ind w:firstLine="560" w:firstLineChars="200"/>
        <w:rPr>
          <w:rFonts w:ascii="仿宋_GB2312" w:hAnsi="仿宋_GB2312" w:eastAsia="仿宋_GB2312" w:cs="仿宋_GB2312"/>
          <w:b w:val="0"/>
          <w:bCs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通过EXCEL表对资产进行批量盘点</w:t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5266690" cy="2021840"/>
            <wp:effectExtent l="0" t="0" r="10160" b="165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240" w:lineRule="auto"/>
        <w:ind w:firstLine="560" w:firstLineChars="200"/>
        <w:rPr>
          <w:rFonts w:ascii="仿宋_GB2312" w:hAnsi="仿宋_GB2312" w:eastAsia="仿宋_GB2312" w:cs="仿宋_GB2312"/>
          <w:b w:val="0"/>
          <w:bCs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点击“导出清单线下盘点”，线下在EXCEL表中完成信息填写后，再点击“导入线下盘点结果”，操作如下图所示：</w:t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5258435" cy="1741805"/>
            <wp:effectExtent l="0" t="0" r="18415" b="1079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5271770" cy="2039620"/>
            <wp:effectExtent l="0" t="0" r="5080" b="177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5266690" cy="2427605"/>
            <wp:effectExtent l="0" t="0" r="10160" b="107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240" w:lineRule="auto"/>
        <w:ind w:firstLine="560" w:firstLineChars="200"/>
        <w:rPr>
          <w:rFonts w:ascii="仿宋_GB2312" w:hAnsi="仿宋_GB2312" w:eastAsia="仿宋_GB2312" w:cs="仿宋_GB2312"/>
          <w:b w:val="0"/>
          <w:bCs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完成单位下所有资产盘点后，资产使用情况无误后，点击“提交审核”，进入“主管部门复核”节点，如图所示：</w:t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drawing>
          <wp:inline distT="0" distB="0" distL="0" distR="0">
            <wp:extent cx="5274310" cy="2505710"/>
            <wp:effectExtent l="0" t="0" r="2540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仿宋_GB2312" w:hAnsi="仿宋_GB2312" w:eastAsia="仿宋_GB2312" w:cs="仿宋_GB2312"/>
          <w:b w:val="0"/>
          <w:bCs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2.盘点过程中业务办理</w:t>
      </w:r>
    </w:p>
    <w:p>
      <w:pPr>
        <w:pStyle w:val="4"/>
        <w:spacing w:line="240" w:lineRule="auto"/>
        <w:ind w:firstLine="560" w:firstLineChars="200"/>
        <w:rPr>
          <w:rFonts w:ascii="仿宋_GB2312" w:hAnsi="仿宋_GB2312" w:eastAsia="仿宋_GB2312" w:cs="仿宋_GB2312"/>
          <w:b w:val="0"/>
          <w:bCs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（1）单位资产管理员在资产清查任务下点击“实名制整理”，如图所示：</w:t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5258435" cy="1805305"/>
            <wp:effectExtent l="0" t="0" r="18415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240" w:lineRule="auto"/>
        <w:ind w:firstLine="560" w:firstLineChars="200"/>
        <w:rPr>
          <w:rFonts w:ascii="仿宋_GB2312" w:hAnsi="仿宋_GB2312" w:eastAsia="仿宋_GB2312" w:cs="仿宋_GB2312"/>
          <w:b w:val="0"/>
          <w:bCs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进入实名制账目整理页面，在该页面可对“被退回”“待整理”等资产进行重新分配整理，如下图所示：</w:t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5266690" cy="2049145"/>
            <wp:effectExtent l="0" t="0" r="10160" b="825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</w:rPr>
        <w:tab/>
      </w:r>
    </w:p>
    <w:p>
      <w:pPr>
        <w:pStyle w:val="4"/>
        <w:spacing w:line="240" w:lineRule="auto"/>
        <w:ind w:firstLine="560" w:firstLineChars="200"/>
        <w:rPr>
          <w:rFonts w:ascii="仿宋_GB2312" w:hAnsi="仿宋_GB2312" w:eastAsia="仿宋_GB2312" w:cs="仿宋_GB2312"/>
          <w:b w:val="0"/>
          <w:bCs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（2）单位资产管理员在资产盘点任务下可对资产进行调拨，点击“资产调拨”，如下图所示：</w:t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5266690" cy="1692275"/>
            <wp:effectExtent l="0" t="0" r="10160" b="317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240" w:lineRule="auto"/>
        <w:ind w:firstLine="560" w:firstLineChars="200"/>
        <w:rPr>
          <w:rFonts w:ascii="仿宋_GB2312" w:hAnsi="仿宋_GB2312" w:eastAsia="仿宋_GB2312" w:cs="仿宋_GB2312"/>
          <w:b w:val="0"/>
          <w:bCs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进入资产调拨流程后，可根据资产实际使用情况发起调拨流程，如下图所示：</w:t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5264150" cy="2468880"/>
            <wp:effectExtent l="0" t="0" r="12700" b="762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240" w:lineRule="auto"/>
        <w:ind w:firstLine="560" w:firstLineChars="200"/>
        <w:rPr>
          <w:rFonts w:ascii="仿宋_GB2312" w:hAnsi="仿宋_GB2312" w:eastAsia="仿宋_GB2312" w:cs="仿宋_GB2312"/>
          <w:b w:val="0"/>
          <w:bCs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（3）单位资产管理员在资产盘点任务下可根据需求增加盘点人，协助开展单位资产盘点工作，如下图所示：</w:t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5266690" cy="1898015"/>
            <wp:effectExtent l="0" t="0" r="10160" b="6985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240" w:lineRule="auto"/>
        <w:ind w:firstLine="560" w:firstLineChars="200"/>
        <w:rPr>
          <w:rFonts w:ascii="仿宋_GB2312" w:hAnsi="仿宋_GB2312" w:eastAsia="仿宋_GB2312" w:cs="仿宋_GB2312"/>
          <w:b w:val="0"/>
          <w:bCs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点击“盘点人”，选择增加新盘点人，点击“确认增加”，如下图所示：</w:t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5266690" cy="2285365"/>
            <wp:effectExtent l="0" t="0" r="10160" b="635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840"/>
        <w:rPr>
          <w:rFonts w:ascii="仿宋_GB2312" w:hAnsi="仿宋_GB2312" w:eastAsia="仿宋_GB2312" w:cs="仿宋_GB2312"/>
          <w:sz w:val="28"/>
          <w:szCs w:val="28"/>
        </w:rPr>
      </w:pPr>
    </w:p>
    <w:p>
      <w:pPr>
        <w:pStyle w:val="3"/>
        <w:rPr>
          <w:rFonts w:ascii="仿宋_GB2312" w:hAnsi="仿宋_GB2312" w:eastAsia="仿宋_GB2312" w:cs="仿宋_GB2312"/>
          <w:bCs/>
          <w:szCs w:val="32"/>
        </w:rPr>
      </w:pPr>
      <w:r>
        <w:rPr>
          <w:rFonts w:hint="eastAsia" w:ascii="仿宋_GB2312" w:hAnsi="仿宋_GB2312" w:eastAsia="仿宋_GB2312" w:cs="仿宋_GB2312"/>
          <w:bCs/>
          <w:szCs w:val="32"/>
          <w:lang w:eastAsia="zh-CN"/>
        </w:rPr>
        <w:t>三</w:t>
      </w:r>
      <w:r>
        <w:rPr>
          <w:rFonts w:hint="eastAsia" w:ascii="仿宋_GB2312" w:hAnsi="仿宋_GB2312" w:eastAsia="仿宋_GB2312" w:cs="仿宋_GB2312"/>
          <w:bCs/>
          <w:szCs w:val="32"/>
        </w:rPr>
        <w:t>、提交盘点结果</w:t>
      </w:r>
      <w:r>
        <w:rPr>
          <w:rFonts w:hint="eastAsia" w:ascii="仿宋_GB2312" w:hAnsi="仿宋_GB2312" w:eastAsia="仿宋_GB2312" w:cs="仿宋_GB2312"/>
          <w:bCs/>
          <w:szCs w:val="32"/>
        </w:rPr>
        <w:tab/>
      </w:r>
    </w:p>
    <w:p>
      <w:pPr>
        <w:pStyle w:val="4"/>
        <w:spacing w:line="240" w:lineRule="auto"/>
        <w:ind w:firstLine="560" w:firstLineChars="200"/>
        <w:rPr>
          <w:rFonts w:ascii="仿宋_GB2312" w:hAnsi="仿宋_GB2312" w:eastAsia="仿宋_GB2312" w:cs="仿宋_GB2312"/>
          <w:b w:val="0"/>
          <w:bCs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盘点任务完成后，单位资产管理员进入业务详情，点击“盘点结果报告”进行打印，签字盖章确认并上报国有资产与实验室管理处存档，操作如下图所示：</w:t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5257800" cy="1684655"/>
            <wp:effectExtent l="0" t="0" r="0" b="10795"/>
            <wp:docPr id="3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drawing>
          <wp:inline distT="0" distB="0" distL="0" distR="0">
            <wp:extent cx="5274310" cy="2491740"/>
            <wp:effectExtent l="0" t="0" r="2540" b="38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firstLine="840" w:firstLineChars="300"/>
        <w:rPr>
          <w:rFonts w:ascii="仿宋_GB2312" w:hAnsi="仿宋_GB2312" w:eastAsia="仿宋_GB2312" w:cs="仿宋_GB2312"/>
          <w:sz w:val="28"/>
          <w:szCs w:val="28"/>
        </w:rPr>
      </w:pP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drawing>
          <wp:inline distT="0" distB="0" distL="0" distR="0">
            <wp:extent cx="5274310" cy="24980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color w:val="FF0000"/>
          <w:sz w:val="28"/>
          <w:szCs w:val="28"/>
          <w:lang w:val="en-US" w:eastAsia="zh-CN"/>
        </w:rPr>
      </w:pPr>
      <w:r>
        <w:rPr>
          <w:rFonts w:ascii="仿宋_GB2312" w:hAnsi="仿宋_GB2312" w:eastAsia="仿宋_GB2312" w:cs="仿宋_GB2312"/>
          <w:color w:val="FF0000"/>
          <w:sz w:val="28"/>
          <w:szCs w:val="28"/>
        </w:rPr>
        <w:t>Ps: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</w:rPr>
        <w:t>盘点结果报表和明细清单都需要打印出来并章盖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  <w:lang w:val="en-US" w:eastAsia="zh-CN"/>
        </w:rPr>
        <w:t>连同资产清查盘点结果汇总信息（见通知附件2）签字盖章后一并上报。</w:t>
      </w:r>
      <w:bookmarkStart w:id="0" w:name="_GoBack"/>
      <w:bookmarkEnd w:id="0"/>
    </w:p>
    <w:p>
      <w:pPr>
        <w:rPr>
          <w:rFonts w:hint="eastAsia" w:ascii="仿宋_GB2312" w:hAnsi="仿宋_GB2312" w:eastAsia="仿宋_GB2312" w:cs="仿宋_GB2312"/>
          <w:color w:val="FF0000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6900777"/>
    <w:rsid w:val="000342E7"/>
    <w:rsid w:val="000B2E54"/>
    <w:rsid w:val="000E0B02"/>
    <w:rsid w:val="001B22D6"/>
    <w:rsid w:val="001E6BBA"/>
    <w:rsid w:val="001F47A3"/>
    <w:rsid w:val="002842F1"/>
    <w:rsid w:val="003A5D3D"/>
    <w:rsid w:val="004A0DF7"/>
    <w:rsid w:val="004E7E49"/>
    <w:rsid w:val="00695C57"/>
    <w:rsid w:val="006A409D"/>
    <w:rsid w:val="006F01C6"/>
    <w:rsid w:val="00786F5D"/>
    <w:rsid w:val="007B2E8A"/>
    <w:rsid w:val="007E6036"/>
    <w:rsid w:val="007F65E2"/>
    <w:rsid w:val="008652EC"/>
    <w:rsid w:val="00884D45"/>
    <w:rsid w:val="008B05C3"/>
    <w:rsid w:val="008F50A2"/>
    <w:rsid w:val="00991177"/>
    <w:rsid w:val="009D415F"/>
    <w:rsid w:val="00A2490F"/>
    <w:rsid w:val="00A40724"/>
    <w:rsid w:val="00A47E86"/>
    <w:rsid w:val="00AA548A"/>
    <w:rsid w:val="00AA7944"/>
    <w:rsid w:val="00B808C5"/>
    <w:rsid w:val="00BC3F3E"/>
    <w:rsid w:val="00C308F9"/>
    <w:rsid w:val="00D53EB4"/>
    <w:rsid w:val="00E13FCC"/>
    <w:rsid w:val="00ED1CB9"/>
    <w:rsid w:val="00F02C7F"/>
    <w:rsid w:val="00F049A6"/>
    <w:rsid w:val="00F93AB6"/>
    <w:rsid w:val="017B41B3"/>
    <w:rsid w:val="027F240A"/>
    <w:rsid w:val="029E7F12"/>
    <w:rsid w:val="04CF0601"/>
    <w:rsid w:val="06E451A3"/>
    <w:rsid w:val="07E47E04"/>
    <w:rsid w:val="09EF7317"/>
    <w:rsid w:val="0A4647DD"/>
    <w:rsid w:val="0BE03C11"/>
    <w:rsid w:val="0C742204"/>
    <w:rsid w:val="0CD6070C"/>
    <w:rsid w:val="0CD94D4B"/>
    <w:rsid w:val="0ED40F07"/>
    <w:rsid w:val="0F5802AE"/>
    <w:rsid w:val="10764301"/>
    <w:rsid w:val="12FB43EB"/>
    <w:rsid w:val="131570ED"/>
    <w:rsid w:val="147C080B"/>
    <w:rsid w:val="15617DC7"/>
    <w:rsid w:val="15B00A85"/>
    <w:rsid w:val="17307D83"/>
    <w:rsid w:val="1733450A"/>
    <w:rsid w:val="19BC4F1C"/>
    <w:rsid w:val="1A697996"/>
    <w:rsid w:val="1CD71621"/>
    <w:rsid w:val="1DBB6ABB"/>
    <w:rsid w:val="1F553639"/>
    <w:rsid w:val="218B2C0A"/>
    <w:rsid w:val="21933EF7"/>
    <w:rsid w:val="23670E56"/>
    <w:rsid w:val="23A74A98"/>
    <w:rsid w:val="24D217CA"/>
    <w:rsid w:val="279B5F71"/>
    <w:rsid w:val="27BE437F"/>
    <w:rsid w:val="285024E9"/>
    <w:rsid w:val="291524EF"/>
    <w:rsid w:val="2F4724F8"/>
    <w:rsid w:val="30E60E0B"/>
    <w:rsid w:val="312474B9"/>
    <w:rsid w:val="329B47F1"/>
    <w:rsid w:val="350A0E5E"/>
    <w:rsid w:val="352D3B5F"/>
    <w:rsid w:val="38E578E7"/>
    <w:rsid w:val="39745102"/>
    <w:rsid w:val="3E2D5603"/>
    <w:rsid w:val="44136287"/>
    <w:rsid w:val="45E2730D"/>
    <w:rsid w:val="461105D0"/>
    <w:rsid w:val="46443744"/>
    <w:rsid w:val="46900777"/>
    <w:rsid w:val="48A05307"/>
    <w:rsid w:val="49337BAD"/>
    <w:rsid w:val="4B097437"/>
    <w:rsid w:val="51A53807"/>
    <w:rsid w:val="525E1B4F"/>
    <w:rsid w:val="59183956"/>
    <w:rsid w:val="59E0013B"/>
    <w:rsid w:val="5F145954"/>
    <w:rsid w:val="655423FA"/>
    <w:rsid w:val="69DF1085"/>
    <w:rsid w:val="6CA92956"/>
    <w:rsid w:val="6D3336BA"/>
    <w:rsid w:val="6D5A77C6"/>
    <w:rsid w:val="6ECC3D2E"/>
    <w:rsid w:val="6FE851E5"/>
    <w:rsid w:val="70075AFB"/>
    <w:rsid w:val="72FB6355"/>
    <w:rsid w:val="74305846"/>
    <w:rsid w:val="76AF0025"/>
    <w:rsid w:val="780F5186"/>
    <w:rsid w:val="78716636"/>
    <w:rsid w:val="7B162B21"/>
    <w:rsid w:val="7BF7771A"/>
    <w:rsid w:val="7ED666CA"/>
    <w:rsid w:val="7FF17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3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2" w:lineRule="auto"/>
      <w:outlineLvl w:val="2"/>
    </w:pPr>
    <w:rPr>
      <w:rFonts w:ascii="Calibri" w:hAnsi="Calibri" w:eastAsia="宋体" w:cs="Times New Roman"/>
      <w:b/>
      <w:bCs/>
      <w:sz w:val="32"/>
      <w:szCs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1">
    <w:name w:val="页眉 字符"/>
    <w:basedOn w:val="10"/>
    <w:link w:val="7"/>
    <w:qFormat/>
    <w:uiPriority w:val="0"/>
    <w:rPr>
      <w:kern w:val="2"/>
      <w:sz w:val="18"/>
      <w:szCs w:val="18"/>
    </w:rPr>
  </w:style>
  <w:style w:type="character" w:customStyle="1" w:styleId="12">
    <w:name w:val="页脚 字符"/>
    <w:basedOn w:val="10"/>
    <w:link w:val="6"/>
    <w:qFormat/>
    <w:uiPriority w:val="0"/>
    <w:rPr>
      <w:kern w:val="2"/>
      <w:sz w:val="18"/>
      <w:szCs w:val="18"/>
    </w:rPr>
  </w:style>
  <w:style w:type="character" w:customStyle="1" w:styleId="13">
    <w:name w:val="NormalCharacter"/>
    <w:link w:val="1"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customXml" Target="../customXml/item2.xml"/><Relationship Id="rId28" Type="http://schemas.openxmlformats.org/officeDocument/2006/relationships/customXml" Target="../customXml/item1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A1EF9D9-5332-46B0-AC3B-D10F5364E64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235</Words>
  <Characters>1342</Characters>
  <Lines>11</Lines>
  <Paragraphs>3</Paragraphs>
  <TotalTime>1</TotalTime>
  <ScaleCrop>false</ScaleCrop>
  <LinksUpToDate>false</LinksUpToDate>
  <CharactersWithSpaces>1574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2021-10-25T08:34:00Z</dcterms:created>
  <dc:creator>Administrator</dc:creator>
  <cp:lastModifiedBy>孙友风</cp:lastModifiedBy>
  <dcterms:modified xsi:type="dcterms:W3CDTF">2021-12-10T02:35:47Z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292A3C3998F04BD58DD67AC1C2681BAE</vt:lpwstr>
  </property>
</Properties>
</file>