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23B6" w14:textId="108A59D7" w:rsidR="00874B97" w:rsidRPr="00874B97" w:rsidRDefault="00874B97" w:rsidP="00874B97">
      <w:pPr>
        <w:widowControl/>
        <w:spacing w:line="480" w:lineRule="atLeast"/>
        <w:ind w:right="654"/>
        <w:jc w:val="left"/>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附件</w:t>
      </w:r>
      <w:r w:rsidR="00352BE8">
        <w:rPr>
          <w:rFonts w:ascii="仿宋" w:eastAsia="仿宋" w:hAnsi="仿宋" w:cs="Times New Roman" w:hint="eastAsia"/>
          <w:b/>
          <w:bCs/>
          <w:color w:val="666666"/>
          <w:kern w:val="0"/>
          <w:sz w:val="32"/>
          <w:szCs w:val="32"/>
        </w:rPr>
        <w:t>1</w:t>
      </w:r>
      <w:r w:rsidR="00AF62C5">
        <w:rPr>
          <w:rFonts w:ascii="仿宋" w:eastAsia="仿宋" w:hAnsi="仿宋" w:cs="Times New Roman" w:hint="eastAsia"/>
          <w:b/>
          <w:bCs/>
          <w:color w:val="666666"/>
          <w:kern w:val="0"/>
          <w:sz w:val="32"/>
          <w:szCs w:val="32"/>
        </w:rPr>
        <w:t>.</w:t>
      </w:r>
    </w:p>
    <w:p w14:paraId="3E5ADEF9" w14:textId="77777777" w:rsidR="00874B97" w:rsidRPr="00874B97" w:rsidRDefault="00874B97" w:rsidP="00874B97">
      <w:pPr>
        <w:widowControl/>
        <w:spacing w:before="120" w:after="120" w:line="480" w:lineRule="atLeast"/>
        <w:jc w:val="center"/>
        <w:rPr>
          <w:rFonts w:ascii="Times New Roman" w:eastAsia="宋体" w:hAnsi="Times New Roman" w:cs="Times New Roman"/>
          <w:color w:val="666666"/>
          <w:kern w:val="0"/>
          <w:szCs w:val="21"/>
        </w:rPr>
      </w:pPr>
      <w:r w:rsidRPr="00874B97">
        <w:rPr>
          <w:rFonts w:ascii="方正小标宋_GBK" w:eastAsia="方正小标宋_GBK" w:hAnsi="Times New Roman" w:cs="Times New Roman" w:hint="eastAsia"/>
          <w:color w:val="666666"/>
          <w:kern w:val="0"/>
          <w:sz w:val="44"/>
          <w:szCs w:val="44"/>
        </w:rPr>
        <w:t>2024年“湾区标准”共同需求指引</w:t>
      </w:r>
    </w:p>
    <w:p w14:paraId="3F28D8D7" w14:textId="77777777" w:rsidR="00874B97" w:rsidRPr="00874B97" w:rsidRDefault="00874B97" w:rsidP="00874B97">
      <w:pPr>
        <w:widowControl/>
        <w:spacing w:before="120" w:after="120" w:line="480" w:lineRule="atLeast"/>
        <w:jc w:val="center"/>
        <w:rPr>
          <w:rFonts w:ascii="Times New Roman" w:eastAsia="宋体" w:hAnsi="Times New Roman" w:cs="Times New Roman"/>
          <w:color w:val="666666"/>
          <w:kern w:val="0"/>
          <w:szCs w:val="21"/>
        </w:rPr>
      </w:pPr>
      <w:r w:rsidRPr="00874B97">
        <w:rPr>
          <w:rFonts w:ascii="楷体_GB2312" w:eastAsia="楷体_GB2312" w:hAnsi="Times New Roman" w:cs="Times New Roman" w:hint="eastAsia"/>
          <w:color w:val="666666"/>
          <w:kern w:val="0"/>
          <w:sz w:val="32"/>
          <w:szCs w:val="32"/>
        </w:rPr>
        <w:t>粤港澳大湾区标准化研究中心</w:t>
      </w:r>
    </w:p>
    <w:p w14:paraId="1D13768A"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p>
    <w:p w14:paraId="0EB75C16"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仿宋" w:eastAsia="仿宋" w:hAnsi="仿宋" w:cs="Times New Roman" w:hint="eastAsia"/>
          <w:color w:val="666666"/>
          <w:kern w:val="0"/>
          <w:sz w:val="32"/>
          <w:szCs w:val="32"/>
        </w:rPr>
        <w:t>为全面贯彻实施《粤港澳大湾区发展规划纲要》和《中共中央关于制定国民经济和社会发展第十四个五年规划和二〇三五年远景目标的建议》，发挥标准化的战略性、基础性和支撑性作用，助力粤港澳大湾区成为新发展格局的战略支点、高质量发展的示范地、中国式现代化的引领地。根据《广东省市场监督管理局关于发布促进粤港澳大湾区标准发展指南（试行）的通告》（2023年第66号）要求，制定2024年“湾区标准”共同需求指引。</w:t>
      </w:r>
    </w:p>
    <w:p w14:paraId="2B546434"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黑体" w:eastAsia="黑体" w:hAnsi="黑体" w:cs="Times New Roman" w:hint="eastAsia"/>
          <w:color w:val="666666"/>
          <w:kern w:val="0"/>
          <w:sz w:val="32"/>
          <w:szCs w:val="32"/>
        </w:rPr>
        <w:t>一、总体要求</w:t>
      </w:r>
    </w:p>
    <w:p w14:paraId="5F94D8CF"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（一）需求导向。</w:t>
      </w:r>
      <w:r w:rsidRPr="00874B97">
        <w:rPr>
          <w:rFonts w:ascii="仿宋" w:eastAsia="仿宋" w:hAnsi="仿宋" w:cs="Times New Roman" w:hint="eastAsia"/>
          <w:color w:val="666666"/>
          <w:kern w:val="0"/>
          <w:sz w:val="32"/>
          <w:szCs w:val="32"/>
        </w:rPr>
        <w:t>紧密围绕《粤港澳大湾区发展规划纲要》等相关文件对粤港澳大湾区发展提出的标准化需求，结合区域发展、市场开拓、技术交流、人员往来、互联互通等实际需求，支撑粤港澳大湾区高质量发展。</w:t>
      </w:r>
    </w:p>
    <w:p w14:paraId="6C4E66B2"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（二）重点突破。</w:t>
      </w:r>
      <w:r w:rsidRPr="00874B97">
        <w:rPr>
          <w:rFonts w:ascii="仿宋" w:eastAsia="仿宋" w:hAnsi="仿宋" w:cs="Times New Roman" w:hint="eastAsia"/>
          <w:color w:val="666666"/>
          <w:kern w:val="0"/>
          <w:sz w:val="32"/>
          <w:szCs w:val="32"/>
        </w:rPr>
        <w:t>围绕人流、物流、信息流、资金流等要素跨境流通，以粤港澳三地高共性、易融合领域为切入，重点突破，优势互补，推动粤港澳大湾区标准、规则对接。</w:t>
      </w:r>
    </w:p>
    <w:p w14:paraId="16C6B147"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（三）创新引领。</w:t>
      </w:r>
      <w:r w:rsidRPr="00874B97">
        <w:rPr>
          <w:rFonts w:ascii="仿宋" w:eastAsia="仿宋" w:hAnsi="仿宋" w:cs="Times New Roman" w:hint="eastAsia"/>
          <w:color w:val="666666"/>
          <w:kern w:val="0"/>
          <w:sz w:val="32"/>
          <w:szCs w:val="32"/>
        </w:rPr>
        <w:t>围绕粤港澳大湾区国际科技创新中心建设，促进重大技术创新提升标准技术水平，及时将先进适</w:t>
      </w:r>
      <w:r w:rsidRPr="00874B97">
        <w:rPr>
          <w:rFonts w:ascii="仿宋" w:eastAsia="仿宋" w:hAnsi="仿宋" w:cs="Times New Roman" w:hint="eastAsia"/>
          <w:color w:val="666666"/>
          <w:kern w:val="0"/>
          <w:sz w:val="32"/>
          <w:szCs w:val="32"/>
        </w:rPr>
        <w:lastRenderedPageBreak/>
        <w:t>用科技创新成果融入标准，推动标准化与科技创新互动发展，引领提升产业链现代化水平。</w:t>
      </w:r>
    </w:p>
    <w:p w14:paraId="5F8BB8F3"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（四）平台示范。</w:t>
      </w:r>
      <w:r w:rsidRPr="00874B97">
        <w:rPr>
          <w:rFonts w:ascii="仿宋" w:eastAsia="仿宋" w:hAnsi="仿宋" w:cs="Times New Roman" w:hint="eastAsia"/>
          <w:color w:val="666666"/>
          <w:kern w:val="0"/>
          <w:sz w:val="32"/>
          <w:szCs w:val="32"/>
        </w:rPr>
        <w:t>充分发挥横琴、前海、南沙、河套作为粤港澳全面合作平台的示范效应，坚持求同存异，循序渐进，重点突破的原则，探索借鉴国际先进规则与标准，推动三地规制规则有效衔接。</w:t>
      </w:r>
    </w:p>
    <w:p w14:paraId="0E43190C"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黑体" w:eastAsia="黑体" w:hAnsi="黑体" w:cs="Times New Roman" w:hint="eastAsia"/>
          <w:color w:val="666666"/>
          <w:kern w:val="0"/>
          <w:sz w:val="32"/>
          <w:szCs w:val="32"/>
        </w:rPr>
        <w:t>二、重点领域</w:t>
      </w:r>
    </w:p>
    <w:p w14:paraId="3F24A1DF"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（一）强化科技创新合作，推进</w:t>
      </w:r>
      <w:bookmarkStart w:id="0" w:name="_Hlk167267145"/>
      <w:r w:rsidRPr="00874B97">
        <w:rPr>
          <w:rFonts w:ascii="仿宋" w:eastAsia="仿宋" w:hAnsi="仿宋" w:cs="Times New Roman" w:hint="eastAsia"/>
          <w:b/>
          <w:bCs/>
          <w:color w:val="666666"/>
          <w:kern w:val="0"/>
          <w:sz w:val="32"/>
          <w:szCs w:val="32"/>
        </w:rPr>
        <w:t>高新技术产业</w:t>
      </w:r>
      <w:bookmarkEnd w:id="0"/>
      <w:r w:rsidRPr="00874B97">
        <w:rPr>
          <w:rFonts w:ascii="仿宋" w:eastAsia="仿宋" w:hAnsi="仿宋" w:cs="Times New Roman" w:hint="eastAsia"/>
          <w:b/>
          <w:bCs/>
          <w:color w:val="666666"/>
          <w:kern w:val="0"/>
          <w:sz w:val="32"/>
          <w:szCs w:val="32"/>
        </w:rPr>
        <w:t>发展</w:t>
      </w:r>
    </w:p>
    <w:p w14:paraId="7B62D0E8"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仿宋" w:eastAsia="仿宋" w:hAnsi="仿宋" w:cs="Times New Roman" w:hint="eastAsia"/>
          <w:color w:val="666666"/>
          <w:kern w:val="0"/>
          <w:sz w:val="32"/>
          <w:szCs w:val="32"/>
        </w:rPr>
        <w:t>开展产业</w:t>
      </w:r>
      <w:proofErr w:type="gramStart"/>
      <w:r w:rsidRPr="00874B97">
        <w:rPr>
          <w:rFonts w:ascii="仿宋" w:eastAsia="仿宋" w:hAnsi="仿宋" w:cs="Times New Roman" w:hint="eastAsia"/>
          <w:color w:val="666666"/>
          <w:kern w:val="0"/>
          <w:sz w:val="32"/>
          <w:szCs w:val="32"/>
        </w:rPr>
        <w:t>链关键</w:t>
      </w:r>
      <w:proofErr w:type="gramEnd"/>
      <w:r w:rsidRPr="00874B97">
        <w:rPr>
          <w:rFonts w:ascii="仿宋" w:eastAsia="仿宋" w:hAnsi="仿宋" w:cs="Times New Roman" w:hint="eastAsia"/>
          <w:color w:val="666666"/>
          <w:kern w:val="0"/>
          <w:sz w:val="32"/>
          <w:szCs w:val="32"/>
        </w:rPr>
        <w:t>技术攻关，加快实现信息产业前沿共性技术突破，推动形成相关技术标准。核心基础零部件、关键基础材料、产业技术基础等产业链上下游关键标准。绿色技术创新、绿色产品评价及绿色金融等绿色低碳发展相关标准。氢能、储能、智慧能源等新能源产业相关标准。海洋资源调查监测与应用、</w:t>
      </w:r>
      <w:proofErr w:type="gramStart"/>
      <w:r w:rsidRPr="00874B97">
        <w:rPr>
          <w:rFonts w:ascii="仿宋" w:eastAsia="仿宋" w:hAnsi="仿宋" w:cs="Times New Roman" w:hint="eastAsia"/>
          <w:color w:val="666666"/>
          <w:kern w:val="0"/>
          <w:sz w:val="32"/>
          <w:szCs w:val="32"/>
        </w:rPr>
        <w:t>海洋碳汇核算</w:t>
      </w:r>
      <w:proofErr w:type="gramEnd"/>
      <w:r w:rsidRPr="00874B97">
        <w:rPr>
          <w:rFonts w:ascii="仿宋" w:eastAsia="仿宋" w:hAnsi="仿宋" w:cs="Times New Roman" w:hint="eastAsia"/>
          <w:color w:val="666666"/>
          <w:kern w:val="0"/>
          <w:sz w:val="32"/>
          <w:szCs w:val="32"/>
        </w:rPr>
        <w:t>和</w:t>
      </w:r>
      <w:proofErr w:type="gramStart"/>
      <w:r w:rsidRPr="00874B97">
        <w:rPr>
          <w:rFonts w:ascii="仿宋" w:eastAsia="仿宋" w:hAnsi="仿宋" w:cs="Times New Roman" w:hint="eastAsia"/>
          <w:color w:val="666666"/>
          <w:kern w:val="0"/>
          <w:sz w:val="32"/>
          <w:szCs w:val="32"/>
        </w:rPr>
        <w:t>碳汇</w:t>
      </w:r>
      <w:proofErr w:type="gramEnd"/>
      <w:r w:rsidRPr="00874B97">
        <w:rPr>
          <w:rFonts w:ascii="仿宋" w:eastAsia="仿宋" w:hAnsi="仿宋" w:cs="Times New Roman" w:hint="eastAsia"/>
          <w:color w:val="666666"/>
          <w:kern w:val="0"/>
          <w:sz w:val="32"/>
          <w:szCs w:val="32"/>
        </w:rPr>
        <w:t>交易、海洋牧场等海洋经济相关标准。智能制造、绿色制造、服务型制造等领域标准。</w:t>
      </w:r>
    </w:p>
    <w:p w14:paraId="18F55FE0"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（二）聚焦数字化转型，推动“数字湾区”建设</w:t>
      </w:r>
    </w:p>
    <w:p w14:paraId="186BD724"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仿宋" w:eastAsia="仿宋" w:hAnsi="仿宋" w:cs="Times New Roman" w:hint="eastAsia"/>
          <w:color w:val="666666"/>
          <w:kern w:val="0"/>
          <w:sz w:val="32"/>
          <w:szCs w:val="32"/>
        </w:rPr>
        <w:t>加强“数字湾区”标准化交流合作，围绕网络和数据安全防护合作、数据跨境安全流通，研制大湾</w:t>
      </w:r>
      <w:proofErr w:type="gramStart"/>
      <w:r w:rsidRPr="00874B97">
        <w:rPr>
          <w:rFonts w:ascii="仿宋" w:eastAsia="仿宋" w:hAnsi="仿宋" w:cs="Times New Roman" w:hint="eastAsia"/>
          <w:color w:val="666666"/>
          <w:kern w:val="0"/>
          <w:sz w:val="32"/>
          <w:szCs w:val="32"/>
        </w:rPr>
        <w:t>区网络</w:t>
      </w:r>
      <w:proofErr w:type="gramEnd"/>
      <w:r w:rsidRPr="00874B97">
        <w:rPr>
          <w:rFonts w:ascii="仿宋" w:eastAsia="仿宋" w:hAnsi="仿宋" w:cs="Times New Roman" w:hint="eastAsia"/>
          <w:color w:val="666666"/>
          <w:kern w:val="0"/>
          <w:sz w:val="32"/>
          <w:szCs w:val="32"/>
        </w:rPr>
        <w:t>安全标准、数字资产登记、确权、交易、隐私保护等相关标准。数据资源规划、数据治理、数据服务等数字经济相关标准。数字化人才资质职称评审标准、智慧城市评价指标体系等评级评价</w:t>
      </w:r>
      <w:r w:rsidRPr="00874B97">
        <w:rPr>
          <w:rFonts w:ascii="仿宋" w:eastAsia="仿宋" w:hAnsi="仿宋" w:cs="Times New Roman" w:hint="eastAsia"/>
          <w:color w:val="666666"/>
          <w:kern w:val="0"/>
          <w:sz w:val="32"/>
          <w:szCs w:val="32"/>
        </w:rPr>
        <w:lastRenderedPageBreak/>
        <w:t>标准。促进“互联网+”、人工智能等服务业新技术新</w:t>
      </w:r>
      <w:proofErr w:type="gramStart"/>
      <w:r w:rsidRPr="00874B97">
        <w:rPr>
          <w:rFonts w:ascii="仿宋" w:eastAsia="仿宋" w:hAnsi="仿宋" w:cs="Times New Roman" w:hint="eastAsia"/>
          <w:color w:val="666666"/>
          <w:kern w:val="0"/>
          <w:sz w:val="32"/>
          <w:szCs w:val="32"/>
        </w:rPr>
        <w:t>业态新模式</w:t>
      </w:r>
      <w:proofErr w:type="gramEnd"/>
      <w:r w:rsidRPr="00874B97">
        <w:rPr>
          <w:rFonts w:ascii="仿宋" w:eastAsia="仿宋" w:hAnsi="仿宋" w:cs="Times New Roman" w:hint="eastAsia"/>
          <w:color w:val="666666"/>
          <w:kern w:val="0"/>
          <w:sz w:val="32"/>
          <w:szCs w:val="32"/>
        </w:rPr>
        <w:t>加快发展，开展</w:t>
      </w:r>
      <w:proofErr w:type="gramStart"/>
      <w:r w:rsidRPr="00874B97">
        <w:rPr>
          <w:rFonts w:ascii="仿宋" w:eastAsia="仿宋" w:hAnsi="仿宋" w:cs="Times New Roman" w:hint="eastAsia"/>
          <w:color w:val="666666"/>
          <w:kern w:val="0"/>
          <w:sz w:val="32"/>
          <w:szCs w:val="32"/>
        </w:rPr>
        <w:t>融合业态相关</w:t>
      </w:r>
      <w:proofErr w:type="gramEnd"/>
      <w:r w:rsidRPr="00874B97">
        <w:rPr>
          <w:rFonts w:ascii="仿宋" w:eastAsia="仿宋" w:hAnsi="仿宋" w:cs="Times New Roman" w:hint="eastAsia"/>
          <w:color w:val="666666"/>
          <w:kern w:val="0"/>
          <w:sz w:val="32"/>
          <w:szCs w:val="32"/>
        </w:rPr>
        <w:t>标准探索。加快智慧供应链发展，推动供应链跨界融合创新，建立与国际接轨的供应链标准。智慧物流、供应链服务、电商快递、即时配送、城乡物流配送等领域标准。</w:t>
      </w:r>
    </w:p>
    <w:p w14:paraId="7C292D7B"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t>（三）提升公共服务水平，改善居民生活品质</w:t>
      </w:r>
    </w:p>
    <w:p w14:paraId="52C2CABB"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仿宋" w:eastAsia="仿宋" w:hAnsi="仿宋" w:cs="Times New Roman" w:hint="eastAsia"/>
          <w:color w:val="666666"/>
          <w:kern w:val="0"/>
          <w:sz w:val="32"/>
          <w:szCs w:val="32"/>
        </w:rPr>
        <w:t>围绕养老托育、家政服务、生态环境改善、食品消费品、中医药大健康、药械通等方面开展标准研制，提升公共服务能力和水平。养老和家政服务机构管理规范、教育培训、长期照护服务、品牌建设、信用管理等标准；托育服务、公共文化设施运行管理与服务、残疾人服务、无障碍旅游公共服务等相关标准。资源保护、生态修复、水土资源保护和水土流失综合治理等相关标准；生态产品信息调查、生态产品动态监测等标准；生态环境损害鉴定评估技术及生态产品价值实现绩效评估等标准。气候资源承载力评估、极端天气事件风险评估、关键基础设施气象灾害设防等相关标准。食品消费品质量安全、质量提升、食品产品等相关标准；餐饮节约与管理、预制</w:t>
      </w:r>
      <w:proofErr w:type="gramStart"/>
      <w:r w:rsidRPr="00874B97">
        <w:rPr>
          <w:rFonts w:ascii="仿宋" w:eastAsia="仿宋" w:hAnsi="仿宋" w:cs="Times New Roman" w:hint="eastAsia"/>
          <w:color w:val="666666"/>
          <w:kern w:val="0"/>
          <w:sz w:val="32"/>
          <w:szCs w:val="32"/>
        </w:rPr>
        <w:t>菜产业</w:t>
      </w:r>
      <w:proofErr w:type="gramEnd"/>
      <w:r w:rsidRPr="00874B97">
        <w:rPr>
          <w:rFonts w:ascii="仿宋" w:eastAsia="仿宋" w:hAnsi="仿宋" w:cs="Times New Roman" w:hint="eastAsia"/>
          <w:color w:val="666666"/>
          <w:kern w:val="0"/>
          <w:sz w:val="32"/>
          <w:szCs w:val="32"/>
        </w:rPr>
        <w:t>链相关标准。消费品挥发性有机物（VOC）含量检测及限值等相关标准。中医药产品质量、中西医结合临床疗效评价、中药材标准化种植、药材标准化生产基地建设、中医药数据等相关标准。药品医疗器械研发、生产、流通和使用相关标准。</w:t>
      </w:r>
    </w:p>
    <w:p w14:paraId="15E85C4D" w14:textId="77777777" w:rsidR="00874B97" w:rsidRPr="00874B97" w:rsidRDefault="00874B97" w:rsidP="00874B97">
      <w:pPr>
        <w:widowControl/>
        <w:spacing w:line="480" w:lineRule="atLeast"/>
        <w:ind w:firstLine="643"/>
        <w:rPr>
          <w:rFonts w:ascii="Times New Roman" w:eastAsia="宋体" w:hAnsi="Times New Roman" w:cs="Times New Roman"/>
          <w:color w:val="666666"/>
          <w:kern w:val="0"/>
          <w:szCs w:val="21"/>
        </w:rPr>
      </w:pPr>
      <w:r w:rsidRPr="00874B97">
        <w:rPr>
          <w:rFonts w:ascii="仿宋" w:eastAsia="仿宋" w:hAnsi="仿宋" w:cs="Times New Roman" w:hint="eastAsia"/>
          <w:b/>
          <w:bCs/>
          <w:color w:val="666666"/>
          <w:kern w:val="0"/>
          <w:sz w:val="32"/>
          <w:szCs w:val="32"/>
        </w:rPr>
        <w:lastRenderedPageBreak/>
        <w:t>（四）加强人才教育工作，提供人力资源保障</w:t>
      </w:r>
    </w:p>
    <w:p w14:paraId="0E29ACD3" w14:textId="77777777" w:rsidR="00874B97" w:rsidRPr="00874B97" w:rsidRDefault="00874B97" w:rsidP="00874B97">
      <w:pPr>
        <w:widowControl/>
        <w:spacing w:line="480" w:lineRule="atLeast"/>
        <w:ind w:firstLine="640"/>
        <w:rPr>
          <w:rFonts w:ascii="Times New Roman" w:eastAsia="宋体" w:hAnsi="Times New Roman" w:cs="Times New Roman"/>
          <w:color w:val="666666"/>
          <w:kern w:val="0"/>
          <w:szCs w:val="21"/>
        </w:rPr>
      </w:pPr>
      <w:r w:rsidRPr="00874B97">
        <w:rPr>
          <w:rFonts w:ascii="仿宋" w:eastAsia="仿宋" w:hAnsi="仿宋" w:cs="Times New Roman" w:hint="eastAsia"/>
          <w:color w:val="666666"/>
          <w:kern w:val="0"/>
          <w:sz w:val="32"/>
          <w:szCs w:val="32"/>
        </w:rPr>
        <w:t>围绕人才教育工作，研制人才引进制度、职业资格互认、科技人才评价体系相关标准。人力资源服务、人才驿站建设、公共就业综合服务平台建设相关标准。职业培训、职业教育园区建设与管理、青年创新创业基地建设及运营管理规范等相关标准。</w:t>
      </w:r>
    </w:p>
    <w:p w14:paraId="4A2F263C" w14:textId="77777777" w:rsidR="00517D83" w:rsidRPr="00874B97" w:rsidRDefault="00517D83"/>
    <w:sectPr w:rsidR="00517D83" w:rsidRPr="00874B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A29DA" w14:textId="77777777" w:rsidR="00F87795" w:rsidRDefault="00F87795" w:rsidP="00874B97">
      <w:r>
        <w:separator/>
      </w:r>
    </w:p>
  </w:endnote>
  <w:endnote w:type="continuationSeparator" w:id="0">
    <w:p w14:paraId="458EF174" w14:textId="77777777" w:rsidR="00F87795" w:rsidRDefault="00F87795" w:rsidP="0087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5F867" w14:textId="77777777" w:rsidR="00F87795" w:rsidRDefault="00F87795" w:rsidP="00874B97">
      <w:r>
        <w:separator/>
      </w:r>
    </w:p>
  </w:footnote>
  <w:footnote w:type="continuationSeparator" w:id="0">
    <w:p w14:paraId="02A44EF5" w14:textId="77777777" w:rsidR="00F87795" w:rsidRDefault="00F87795" w:rsidP="0087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AF"/>
    <w:rsid w:val="00352BE8"/>
    <w:rsid w:val="00517D83"/>
    <w:rsid w:val="005A65C0"/>
    <w:rsid w:val="00874B97"/>
    <w:rsid w:val="00AF62C5"/>
    <w:rsid w:val="00DA18AF"/>
    <w:rsid w:val="00F8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41653"/>
  <w15:chartTrackingRefBased/>
  <w15:docId w15:val="{B964E395-B02B-43E4-A09F-A1B41D9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4B97"/>
    <w:rPr>
      <w:sz w:val="18"/>
      <w:szCs w:val="18"/>
    </w:rPr>
  </w:style>
  <w:style w:type="paragraph" w:styleId="a5">
    <w:name w:val="footer"/>
    <w:basedOn w:val="a"/>
    <w:link w:val="a6"/>
    <w:uiPriority w:val="99"/>
    <w:unhideWhenUsed/>
    <w:rsid w:val="00874B97"/>
    <w:pPr>
      <w:tabs>
        <w:tab w:val="center" w:pos="4153"/>
        <w:tab w:val="right" w:pos="8306"/>
      </w:tabs>
      <w:snapToGrid w:val="0"/>
      <w:jc w:val="left"/>
    </w:pPr>
    <w:rPr>
      <w:sz w:val="18"/>
      <w:szCs w:val="18"/>
    </w:rPr>
  </w:style>
  <w:style w:type="character" w:customStyle="1" w:styleId="a6">
    <w:name w:val="页脚 字符"/>
    <w:basedOn w:val="a0"/>
    <w:link w:val="a5"/>
    <w:uiPriority w:val="99"/>
    <w:rsid w:val="00874B97"/>
    <w:rPr>
      <w:sz w:val="18"/>
      <w:szCs w:val="18"/>
    </w:rPr>
  </w:style>
  <w:style w:type="character" w:customStyle="1" w:styleId="time">
    <w:name w:val="time"/>
    <w:basedOn w:val="a0"/>
    <w:rsid w:val="00874B97"/>
  </w:style>
  <w:style w:type="paragraph" w:styleId="a7">
    <w:name w:val="Normal (Web)"/>
    <w:basedOn w:val="a"/>
    <w:uiPriority w:val="99"/>
    <w:semiHidden/>
    <w:unhideWhenUsed/>
    <w:rsid w:val="00874B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7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275607">
      <w:bodyDiv w:val="1"/>
      <w:marLeft w:val="0"/>
      <w:marRight w:val="0"/>
      <w:marTop w:val="0"/>
      <w:marBottom w:val="0"/>
      <w:divBdr>
        <w:top w:val="none" w:sz="0" w:space="0" w:color="auto"/>
        <w:left w:val="none" w:sz="0" w:space="0" w:color="auto"/>
        <w:bottom w:val="none" w:sz="0" w:space="0" w:color="auto"/>
        <w:right w:val="none" w:sz="0" w:space="0" w:color="auto"/>
      </w:divBdr>
      <w:divsChild>
        <w:div w:id="1940219047">
          <w:marLeft w:val="0"/>
          <w:marRight w:val="0"/>
          <w:marTop w:val="0"/>
          <w:marBottom w:val="225"/>
          <w:divBdr>
            <w:top w:val="none" w:sz="0" w:space="0" w:color="auto"/>
            <w:left w:val="none" w:sz="0" w:space="0" w:color="auto"/>
            <w:bottom w:val="none" w:sz="0" w:space="0" w:color="auto"/>
            <w:right w:val="none" w:sz="0" w:space="0" w:color="auto"/>
          </w:divBdr>
        </w:div>
        <w:div w:id="212275114">
          <w:marLeft w:val="0"/>
          <w:marRight w:val="0"/>
          <w:marTop w:val="0"/>
          <w:marBottom w:val="0"/>
          <w:divBdr>
            <w:top w:val="none" w:sz="0" w:space="0" w:color="auto"/>
            <w:left w:val="none" w:sz="0" w:space="0" w:color="auto"/>
            <w:bottom w:val="single" w:sz="6" w:space="15"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2024-05-21T06:59:00Z</dcterms:created>
  <dcterms:modified xsi:type="dcterms:W3CDTF">2024-05-22T02:58:00Z</dcterms:modified>
</cp:coreProperties>
</file>