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CA847">
      <w:pPr>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2026年低空经济微专业遴选说明</w:t>
      </w:r>
    </w:p>
    <w:p w14:paraId="52C94238">
      <w:pPr>
        <w:spacing w:line="360" w:lineRule="auto"/>
        <w:jc w:val="center"/>
        <w:rPr>
          <w:rFonts w:hint="eastAsia" w:ascii="宋体" w:hAnsi="宋体" w:eastAsia="宋体"/>
          <w:b/>
          <w:bCs/>
          <w:sz w:val="24"/>
          <w:szCs w:val="24"/>
          <w:lang w:val="en-US" w:eastAsia="zh-CN"/>
        </w:rPr>
      </w:pPr>
    </w:p>
    <w:p w14:paraId="69022A67">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1.专业简介：</w:t>
      </w:r>
    </w:p>
    <w:p w14:paraId="2777854F">
      <w:pPr>
        <w:spacing w:line="360" w:lineRule="auto"/>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低空经济是国家培育新质生产力的战略新兴方向。广东省将低空经济定位为培育新质生产力的核心引擎和全球产业高地，通过政策赋能、产业集聚和场景创新，致力于打造世界级低空经济产业集群。随着低空空域逐步开放，低空飞行活动将广泛应用于物流运输、城市空中出行、应急救援、农业植保、测绘巡检等领域，带动形成万亿级产业规模。</w:t>
      </w:r>
    </w:p>
    <w:p w14:paraId="378F9D63">
      <w:pPr>
        <w:spacing w:before="60" w:after="60" w:line="360" w:lineRule="auto"/>
        <w:jc w:val="both"/>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科依托】本微专业由华南师范大学经济与管理学院牵头，依托学校在经济学、管理学、工学与信息技术等学科的综合优势，联合中国民航大学、中国民航管理干部学院及广东低空经济产业发展有限公司、广东晔生航空科技有限公司等产教合作单位共同建设，属于教育部"双千计划"备案微专业，类型为跨学科交叉复合型。</w:t>
      </w:r>
    </w:p>
    <w:p w14:paraId="431BED7E">
      <w:pPr>
        <w:spacing w:before="60" w:after="60" w:line="360" w:lineRule="auto"/>
        <w:jc w:val="both"/>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培养目标】本微专业聚焦"政策合规＋技术应用"双核能力，构建"经济分析＋技术理解＋政策创新"人才培养框架，培养掌握低空技术应用、产业运营及法规标准，具备无人机与eVTOL操作、场景解决方案设计、项目管理能力的复合型人才，服务于智慧物流、城市治理、应急响应等场景需求。毕业生可在政府部门、航空管理企业、物流企业、科技公司及研究机构中，从事低空产业规划、低空交通运营管理、政策咨询、技术创新与产业研究等工作，为我国低空经济体系的建设与可持续发展提供智力支撑。</w:t>
      </w:r>
    </w:p>
    <w:p w14:paraId="193ED8BB">
      <w:pPr>
        <w:spacing w:before="60" w:after="60" w:line="360" w:lineRule="auto"/>
        <w:jc w:val="both"/>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社会需求】当前，低空经济相关企业、政府管理部门及科研机构在空域资源配置、产业规划、低空政策设计、无人机运营与数字化管理等方面均面临专业人才缺口，市场对既懂经济运行规律、又熟悉低空产业技术和政策的复合型人才需求急剧增长。</w:t>
      </w:r>
    </w:p>
    <w:p w14:paraId="2FD8B91A">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2.培养特色：</w:t>
      </w:r>
    </w:p>
    <w:p w14:paraId="6AA169A5">
      <w:pPr>
        <w:pStyle w:val="5"/>
        <w:numPr>
          <w:ilvl w:val="0"/>
          <w:numId w:val="0"/>
        </w:numPr>
        <w:spacing w:before="40" w:after="4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1）</w:t>
      </w:r>
      <w:r>
        <w:rPr>
          <w:rFonts w:hint="eastAsia" w:ascii="方正公文仿宋" w:hAnsi="方正公文仿宋" w:eastAsia="方正公文仿宋" w:cs="方正公文仿宋"/>
          <w:sz w:val="28"/>
          <w:szCs w:val="28"/>
        </w:rPr>
        <w:t>跨学科融合教学。充分整合学校在经济学、管理学、法学与信息技术等领域的优质教学资源，构建经济、技术、法律与政策深度交叉的培养体系，通过联合教学与跨学院协作，强化学生的跨界知识融合与综合决策能力。</w:t>
      </w:r>
    </w:p>
    <w:p w14:paraId="4DAFB9AC">
      <w:pPr>
        <w:pStyle w:val="5"/>
        <w:numPr>
          <w:ilvl w:val="0"/>
          <w:numId w:val="0"/>
        </w:numPr>
        <w:spacing w:before="40" w:after="4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2）</w:t>
      </w:r>
      <w:r>
        <w:rPr>
          <w:rFonts w:hint="eastAsia" w:ascii="方正公文仿宋" w:hAnsi="方正公文仿宋" w:eastAsia="方正公文仿宋" w:cs="方正公文仿宋"/>
          <w:sz w:val="28"/>
          <w:szCs w:val="28"/>
        </w:rPr>
        <w:t>紧贴产业前沿。与广东低空经济产业发展有限公司、广东晔生航空科技有限公司及中国民航大学等产教合作单位深度协同，邀请行业专家、创业者及政策研究人员参与课程教学与项目指导，确保课程内容紧跟产业最新动态。</w:t>
      </w:r>
    </w:p>
    <w:p w14:paraId="5B1F648D">
      <w:pPr>
        <w:pStyle w:val="5"/>
        <w:numPr>
          <w:ilvl w:val="0"/>
          <w:numId w:val="0"/>
        </w:numPr>
        <w:spacing w:before="40" w:after="4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3）</w:t>
      </w:r>
      <w:r>
        <w:rPr>
          <w:rFonts w:hint="eastAsia" w:ascii="方正公文仿宋" w:hAnsi="方正公文仿宋" w:eastAsia="方正公文仿宋" w:cs="方正公文仿宋"/>
          <w:sz w:val="28"/>
          <w:szCs w:val="28"/>
        </w:rPr>
        <w:t>实践性强。采用低空产业典型场景案例与项目研究方法，引入无人机仿真系统、低空交通管理平台等数字化教学工具，学生以团队形式完成低空经济创新项目，涵盖市场研究、政策分析、经济可行性评估与解决方案展示。</w:t>
      </w:r>
    </w:p>
    <w:p w14:paraId="40592378">
      <w:pPr>
        <w:pStyle w:val="5"/>
        <w:numPr>
          <w:ilvl w:val="0"/>
          <w:numId w:val="0"/>
        </w:numPr>
        <w:spacing w:before="40" w:after="40"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4）</w:t>
      </w:r>
      <w:r>
        <w:rPr>
          <w:rFonts w:hint="eastAsia" w:ascii="方正公文仿宋" w:hAnsi="方正公文仿宋" w:eastAsia="方正公文仿宋" w:cs="方正公文仿宋"/>
          <w:sz w:val="28"/>
          <w:szCs w:val="28"/>
        </w:rPr>
        <w:t>创新与责任并重。课程体系融入绿色低碳、公共安全、产业伦理与社会责任教育，培养学生在推动科技创新的同时，关注城市可持续发展与社会公共利益。</w:t>
      </w:r>
    </w:p>
    <w:p w14:paraId="31D7F17B">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5）</w:t>
      </w:r>
      <w:r>
        <w:rPr>
          <w:rFonts w:hint="eastAsia" w:ascii="方正公文仿宋" w:hAnsi="方正公文仿宋" w:eastAsia="方正公文仿宋" w:cs="方正公文仿宋"/>
          <w:sz w:val="28"/>
          <w:szCs w:val="28"/>
        </w:rPr>
        <w:t>弹性混合学习。采用学术讲座、设计工作坊、慕课学习、线上线下混合式学习、低空经济企业参观、赴大湾区企业调研等多元学习方式，充分适应在校生课余时间安排。</w:t>
      </w:r>
    </w:p>
    <w:p w14:paraId="7EE9AA23">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3.师资力量：</w:t>
      </w:r>
    </w:p>
    <w:p w14:paraId="085CC558">
      <w:pPr>
        <w:spacing w:before="60" w:after="60" w:line="360" w:lineRule="auto"/>
        <w:jc w:val="both"/>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组建了一支教学经验丰富、学术背景扎实、产业视野宽广的跨学科教学团队。专业负责人王智波教授（华南师范大学经济与管理学院系主任）统筹牵头，团队汇聚来自经管学院、中国民航大学、中国民航管理干部学院及行业企业的12位师资，涵盖教授、副教授及特聘副研究员，横跨宏观经济学、产业经济学、空中交通管理、电子商务、管理学等多个领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268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EF070D3">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序号</w:t>
            </w:r>
          </w:p>
        </w:tc>
        <w:tc>
          <w:tcPr>
            <w:tcW w:w="1217" w:type="dxa"/>
          </w:tcPr>
          <w:p w14:paraId="4138FA86">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姓名</w:t>
            </w:r>
          </w:p>
        </w:tc>
        <w:tc>
          <w:tcPr>
            <w:tcW w:w="1217" w:type="dxa"/>
          </w:tcPr>
          <w:p w14:paraId="0C3F133F">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年龄</w:t>
            </w:r>
          </w:p>
        </w:tc>
        <w:tc>
          <w:tcPr>
            <w:tcW w:w="1217" w:type="dxa"/>
          </w:tcPr>
          <w:p w14:paraId="6E55CA85">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职称</w:t>
            </w:r>
          </w:p>
        </w:tc>
        <w:tc>
          <w:tcPr>
            <w:tcW w:w="1218" w:type="dxa"/>
          </w:tcPr>
          <w:p w14:paraId="7D562FE2">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所在单位</w:t>
            </w:r>
          </w:p>
        </w:tc>
        <w:tc>
          <w:tcPr>
            <w:tcW w:w="1218" w:type="dxa"/>
          </w:tcPr>
          <w:p w14:paraId="1D0BD11A">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color w:val="000000" w:themeColor="text1"/>
                <w:sz w:val="28"/>
                <w:szCs w:val="28"/>
                <w14:textFill>
                  <w14:solidFill>
                    <w14:schemeClr w14:val="tx1"/>
                  </w14:solidFill>
                </w14:textFill>
              </w:rPr>
              <w:t>主要研究方向/曾授课程</w:t>
            </w:r>
          </w:p>
        </w:tc>
        <w:tc>
          <w:tcPr>
            <w:tcW w:w="1218" w:type="dxa"/>
          </w:tcPr>
          <w:p w14:paraId="262D9683">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color w:val="000000" w:themeColor="text1"/>
                <w:sz w:val="28"/>
                <w:szCs w:val="28"/>
                <w14:textFill>
                  <w14:solidFill>
                    <w14:schemeClr w14:val="tx1"/>
                  </w14:solidFill>
                </w14:textFill>
              </w:rPr>
              <w:t>拟授课程</w:t>
            </w:r>
          </w:p>
        </w:tc>
      </w:tr>
      <w:tr w14:paraId="74CE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E8DCD3F">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1</w:t>
            </w:r>
          </w:p>
        </w:tc>
        <w:tc>
          <w:tcPr>
            <w:tcW w:w="1217" w:type="dxa"/>
          </w:tcPr>
          <w:p w14:paraId="49C302AC">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王智波（负责人）</w:t>
            </w:r>
          </w:p>
        </w:tc>
        <w:tc>
          <w:tcPr>
            <w:tcW w:w="1217" w:type="dxa"/>
          </w:tcPr>
          <w:p w14:paraId="540FEA5C">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b/>
                <w:bCs/>
                <w:sz w:val="28"/>
                <w:szCs w:val="28"/>
                <w:vertAlign w:val="baseline"/>
                <w:lang w:val="en-US" w:eastAsia="zh-CN"/>
              </w:rPr>
              <w:t>—</w:t>
            </w:r>
          </w:p>
        </w:tc>
        <w:tc>
          <w:tcPr>
            <w:tcW w:w="1217" w:type="dxa"/>
          </w:tcPr>
          <w:p w14:paraId="79BC174E">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sz w:val="28"/>
                <w:szCs w:val="28"/>
              </w:rPr>
              <w:t>教授</w:t>
            </w:r>
          </w:p>
        </w:tc>
        <w:tc>
          <w:tcPr>
            <w:tcW w:w="1218" w:type="dxa"/>
          </w:tcPr>
          <w:p w14:paraId="1B4DF99F">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sz w:val="28"/>
                <w:szCs w:val="28"/>
              </w:rPr>
              <w:t>经管学院</w:t>
            </w:r>
          </w:p>
        </w:tc>
        <w:tc>
          <w:tcPr>
            <w:tcW w:w="1218" w:type="dxa"/>
          </w:tcPr>
          <w:p w14:paraId="29263757">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sz w:val="28"/>
                <w:szCs w:val="28"/>
              </w:rPr>
              <w:t>宏观经济学、人工智能经济学</w:t>
            </w:r>
          </w:p>
        </w:tc>
        <w:tc>
          <w:tcPr>
            <w:tcW w:w="1218" w:type="dxa"/>
          </w:tcPr>
          <w:p w14:paraId="383E087C">
            <w:pPr>
              <w:spacing w:line="360" w:lineRule="auto"/>
              <w:jc w:val="left"/>
              <w:rPr>
                <w:rFonts w:hint="eastAsia" w:ascii="方正公文仿宋" w:hAnsi="方正公文仿宋" w:eastAsia="方正公文仿宋" w:cs="方正公文仿宋"/>
                <w:b/>
                <w:bCs/>
                <w:sz w:val="28"/>
                <w:szCs w:val="28"/>
                <w:vertAlign w:val="baseline"/>
                <w:lang w:val="en-US" w:eastAsia="zh-CN"/>
              </w:rPr>
            </w:pPr>
            <w:r>
              <w:rPr>
                <w:rFonts w:hint="eastAsia" w:ascii="方正公文仿宋" w:hAnsi="方正公文仿宋" w:eastAsia="方正公文仿宋" w:cs="方正公文仿宋"/>
                <w:sz w:val="28"/>
                <w:szCs w:val="28"/>
              </w:rPr>
              <w:t>低空经济概论</w:t>
            </w:r>
          </w:p>
        </w:tc>
      </w:tr>
      <w:tr w14:paraId="5176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F00BCFC">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2</w:t>
            </w:r>
          </w:p>
        </w:tc>
        <w:tc>
          <w:tcPr>
            <w:tcW w:w="1217" w:type="dxa"/>
          </w:tcPr>
          <w:p w14:paraId="4FBA54E1">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唐晓东</w:t>
            </w:r>
          </w:p>
        </w:tc>
        <w:tc>
          <w:tcPr>
            <w:tcW w:w="1217" w:type="dxa"/>
          </w:tcPr>
          <w:p w14:paraId="2CD5723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57</w:t>
            </w:r>
          </w:p>
        </w:tc>
        <w:tc>
          <w:tcPr>
            <w:tcW w:w="1217" w:type="dxa"/>
          </w:tcPr>
          <w:p w14:paraId="1274CA42">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副教授</w:t>
            </w:r>
          </w:p>
        </w:tc>
        <w:tc>
          <w:tcPr>
            <w:tcW w:w="1218" w:type="dxa"/>
          </w:tcPr>
          <w:p w14:paraId="33BA515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087E9B72">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电子商务</w:t>
            </w:r>
          </w:p>
        </w:tc>
        <w:tc>
          <w:tcPr>
            <w:tcW w:w="1218" w:type="dxa"/>
          </w:tcPr>
          <w:p w14:paraId="00F9B2B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低空技术通识、无人机物流系统设计</w:t>
            </w:r>
            <w:r>
              <w:rPr>
                <w:rFonts w:hint="eastAsia" w:ascii="方正公文仿宋" w:hAnsi="方正公文仿宋" w:eastAsia="方正公文仿宋" w:cs="方正公文仿宋"/>
                <w:b w:val="0"/>
                <w:bCs w:val="0"/>
                <w:sz w:val="28"/>
                <w:szCs w:val="28"/>
                <w:lang w:val="en-US" w:eastAsia="zh-CN"/>
              </w:rPr>
              <w:t>与优化</w:t>
            </w:r>
          </w:p>
        </w:tc>
      </w:tr>
      <w:tr w14:paraId="70AD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078E4348">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3</w:t>
            </w:r>
          </w:p>
        </w:tc>
        <w:tc>
          <w:tcPr>
            <w:tcW w:w="1217" w:type="dxa"/>
          </w:tcPr>
          <w:p w14:paraId="737D3E74">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邓于君</w:t>
            </w:r>
          </w:p>
        </w:tc>
        <w:tc>
          <w:tcPr>
            <w:tcW w:w="1217" w:type="dxa"/>
          </w:tcPr>
          <w:p w14:paraId="1903076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51</w:t>
            </w:r>
          </w:p>
        </w:tc>
        <w:tc>
          <w:tcPr>
            <w:tcW w:w="1217" w:type="dxa"/>
          </w:tcPr>
          <w:p w14:paraId="60DDF335">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教授</w:t>
            </w:r>
          </w:p>
        </w:tc>
        <w:tc>
          <w:tcPr>
            <w:tcW w:w="1218" w:type="dxa"/>
          </w:tcPr>
          <w:p w14:paraId="7B62B68C">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096A81E6">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金融学与产业经济学</w:t>
            </w:r>
          </w:p>
        </w:tc>
        <w:tc>
          <w:tcPr>
            <w:tcW w:w="1218" w:type="dxa"/>
          </w:tcPr>
          <w:p w14:paraId="4429902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低空产业政策专题</w:t>
            </w:r>
          </w:p>
        </w:tc>
      </w:tr>
      <w:tr w14:paraId="2A2A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9A295D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4</w:t>
            </w:r>
          </w:p>
        </w:tc>
        <w:tc>
          <w:tcPr>
            <w:tcW w:w="1217" w:type="dxa"/>
          </w:tcPr>
          <w:p w14:paraId="42C797D3">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杜敏哲</w:t>
            </w:r>
          </w:p>
        </w:tc>
        <w:tc>
          <w:tcPr>
            <w:tcW w:w="1217" w:type="dxa"/>
          </w:tcPr>
          <w:p w14:paraId="6C6A2005">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35</w:t>
            </w:r>
          </w:p>
        </w:tc>
        <w:tc>
          <w:tcPr>
            <w:tcW w:w="1217" w:type="dxa"/>
          </w:tcPr>
          <w:p w14:paraId="5F4C3976">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副教授</w:t>
            </w:r>
          </w:p>
        </w:tc>
        <w:tc>
          <w:tcPr>
            <w:tcW w:w="1218" w:type="dxa"/>
          </w:tcPr>
          <w:p w14:paraId="7F872355">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622E91A6">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经济学</w:t>
            </w:r>
          </w:p>
        </w:tc>
        <w:tc>
          <w:tcPr>
            <w:tcW w:w="1218" w:type="dxa"/>
          </w:tcPr>
          <w:p w14:paraId="2B6A334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低空经济概论</w:t>
            </w:r>
          </w:p>
        </w:tc>
      </w:tr>
      <w:tr w14:paraId="610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0BA1A1A8">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5</w:t>
            </w:r>
          </w:p>
        </w:tc>
        <w:tc>
          <w:tcPr>
            <w:tcW w:w="1217" w:type="dxa"/>
          </w:tcPr>
          <w:p w14:paraId="5B3996E3">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楚鹏飞</w:t>
            </w:r>
          </w:p>
        </w:tc>
        <w:tc>
          <w:tcPr>
            <w:tcW w:w="1217" w:type="dxa"/>
          </w:tcPr>
          <w:p w14:paraId="4FCC34A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32</w:t>
            </w:r>
          </w:p>
        </w:tc>
        <w:tc>
          <w:tcPr>
            <w:tcW w:w="1217" w:type="dxa"/>
          </w:tcPr>
          <w:p w14:paraId="373C4D7A">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特聘副研究员</w:t>
            </w:r>
          </w:p>
        </w:tc>
        <w:tc>
          <w:tcPr>
            <w:tcW w:w="1218" w:type="dxa"/>
          </w:tcPr>
          <w:p w14:paraId="32551196">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2E4E1AB3">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经济学</w:t>
            </w:r>
          </w:p>
        </w:tc>
        <w:tc>
          <w:tcPr>
            <w:tcW w:w="1218" w:type="dxa"/>
          </w:tcPr>
          <w:p w14:paraId="56A85A1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数字经济与创新</w:t>
            </w:r>
          </w:p>
        </w:tc>
      </w:tr>
      <w:tr w14:paraId="2C04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9084E4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6</w:t>
            </w:r>
          </w:p>
        </w:tc>
        <w:tc>
          <w:tcPr>
            <w:tcW w:w="1217" w:type="dxa"/>
          </w:tcPr>
          <w:p w14:paraId="73CDA76F">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李琪辉</w:t>
            </w:r>
          </w:p>
        </w:tc>
        <w:tc>
          <w:tcPr>
            <w:tcW w:w="1217" w:type="dxa"/>
          </w:tcPr>
          <w:p w14:paraId="295A653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30</w:t>
            </w:r>
          </w:p>
        </w:tc>
        <w:tc>
          <w:tcPr>
            <w:tcW w:w="1217" w:type="dxa"/>
          </w:tcPr>
          <w:p w14:paraId="1F60BA3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特聘副研究员</w:t>
            </w:r>
          </w:p>
        </w:tc>
        <w:tc>
          <w:tcPr>
            <w:tcW w:w="1218" w:type="dxa"/>
          </w:tcPr>
          <w:p w14:paraId="24EA723E">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00F337A5">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经济学</w:t>
            </w:r>
          </w:p>
        </w:tc>
        <w:tc>
          <w:tcPr>
            <w:tcW w:w="1218" w:type="dxa"/>
          </w:tcPr>
          <w:p w14:paraId="46210422">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低空企业运营与管理</w:t>
            </w:r>
          </w:p>
        </w:tc>
      </w:tr>
      <w:tr w14:paraId="4E1B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783FE0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7</w:t>
            </w:r>
          </w:p>
        </w:tc>
        <w:tc>
          <w:tcPr>
            <w:tcW w:w="1217" w:type="dxa"/>
          </w:tcPr>
          <w:p w14:paraId="57B7E72F">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林秀丽</w:t>
            </w:r>
          </w:p>
        </w:tc>
        <w:tc>
          <w:tcPr>
            <w:tcW w:w="1217" w:type="dxa"/>
          </w:tcPr>
          <w:p w14:paraId="784E080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48</w:t>
            </w:r>
          </w:p>
        </w:tc>
        <w:tc>
          <w:tcPr>
            <w:tcW w:w="1217" w:type="dxa"/>
          </w:tcPr>
          <w:p w14:paraId="393E4EFE">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副教授</w:t>
            </w:r>
          </w:p>
        </w:tc>
        <w:tc>
          <w:tcPr>
            <w:tcW w:w="1218" w:type="dxa"/>
          </w:tcPr>
          <w:p w14:paraId="04AC9AB2">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4297D792">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产业经济学</w:t>
            </w:r>
          </w:p>
        </w:tc>
        <w:tc>
          <w:tcPr>
            <w:tcW w:w="1218" w:type="dxa"/>
          </w:tcPr>
          <w:p w14:paraId="036B186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空间经济与产业规划</w:t>
            </w:r>
          </w:p>
        </w:tc>
      </w:tr>
      <w:tr w14:paraId="42BD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7E073A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8</w:t>
            </w:r>
          </w:p>
        </w:tc>
        <w:tc>
          <w:tcPr>
            <w:tcW w:w="1217" w:type="dxa"/>
          </w:tcPr>
          <w:p w14:paraId="7D6EB26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蔡圣刚</w:t>
            </w:r>
          </w:p>
        </w:tc>
        <w:tc>
          <w:tcPr>
            <w:tcW w:w="1217" w:type="dxa"/>
          </w:tcPr>
          <w:p w14:paraId="3A439B9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57</w:t>
            </w:r>
          </w:p>
        </w:tc>
        <w:tc>
          <w:tcPr>
            <w:tcW w:w="1217" w:type="dxa"/>
          </w:tcPr>
          <w:p w14:paraId="306FE2B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副教授</w:t>
            </w:r>
          </w:p>
        </w:tc>
        <w:tc>
          <w:tcPr>
            <w:tcW w:w="1218" w:type="dxa"/>
          </w:tcPr>
          <w:p w14:paraId="0B2917A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11E2259C">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心理学、管理学</w:t>
            </w:r>
          </w:p>
        </w:tc>
        <w:tc>
          <w:tcPr>
            <w:tcW w:w="1218" w:type="dxa"/>
          </w:tcPr>
          <w:p w14:paraId="142FF96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无人机模拟飞行实训</w:t>
            </w:r>
          </w:p>
        </w:tc>
      </w:tr>
      <w:tr w14:paraId="087B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DBB59D4">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9</w:t>
            </w:r>
          </w:p>
        </w:tc>
        <w:tc>
          <w:tcPr>
            <w:tcW w:w="1217" w:type="dxa"/>
          </w:tcPr>
          <w:p w14:paraId="030AC68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张凤超</w:t>
            </w:r>
          </w:p>
        </w:tc>
        <w:tc>
          <w:tcPr>
            <w:tcW w:w="1217" w:type="dxa"/>
          </w:tcPr>
          <w:p w14:paraId="3A4BFC8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53</w:t>
            </w:r>
          </w:p>
        </w:tc>
        <w:tc>
          <w:tcPr>
            <w:tcW w:w="1217" w:type="dxa"/>
          </w:tcPr>
          <w:p w14:paraId="0BCA8A5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教授</w:t>
            </w:r>
          </w:p>
        </w:tc>
        <w:tc>
          <w:tcPr>
            <w:tcW w:w="1218" w:type="dxa"/>
          </w:tcPr>
          <w:p w14:paraId="0BFBF7FE">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5AD99AEF">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管理学、经济学</w:t>
            </w:r>
          </w:p>
        </w:tc>
        <w:tc>
          <w:tcPr>
            <w:tcW w:w="1218" w:type="dxa"/>
          </w:tcPr>
          <w:p w14:paraId="359688CF">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数字营销、智能供应链管理</w:t>
            </w:r>
          </w:p>
        </w:tc>
      </w:tr>
      <w:tr w14:paraId="4AF3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48B626B">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10</w:t>
            </w:r>
          </w:p>
        </w:tc>
        <w:tc>
          <w:tcPr>
            <w:tcW w:w="1217" w:type="dxa"/>
          </w:tcPr>
          <w:p w14:paraId="08BFEECD">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王雅丽</w:t>
            </w:r>
          </w:p>
        </w:tc>
        <w:tc>
          <w:tcPr>
            <w:tcW w:w="1217" w:type="dxa"/>
          </w:tcPr>
          <w:p w14:paraId="16012AB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48</w:t>
            </w:r>
          </w:p>
        </w:tc>
        <w:tc>
          <w:tcPr>
            <w:tcW w:w="1217" w:type="dxa"/>
          </w:tcPr>
          <w:p w14:paraId="45945AB4">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讲师</w:t>
            </w:r>
          </w:p>
        </w:tc>
        <w:tc>
          <w:tcPr>
            <w:tcW w:w="1218" w:type="dxa"/>
          </w:tcPr>
          <w:p w14:paraId="0C5D4B31">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经管学院</w:t>
            </w:r>
          </w:p>
        </w:tc>
        <w:tc>
          <w:tcPr>
            <w:tcW w:w="1218" w:type="dxa"/>
          </w:tcPr>
          <w:p w14:paraId="63937648">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管理学</w:t>
            </w:r>
          </w:p>
        </w:tc>
        <w:tc>
          <w:tcPr>
            <w:tcW w:w="1218" w:type="dxa"/>
          </w:tcPr>
          <w:p w14:paraId="5E0D0B8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低空技术通识</w:t>
            </w:r>
          </w:p>
        </w:tc>
      </w:tr>
      <w:tr w14:paraId="0738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30EE0FA">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11</w:t>
            </w:r>
          </w:p>
        </w:tc>
        <w:tc>
          <w:tcPr>
            <w:tcW w:w="1217" w:type="dxa"/>
          </w:tcPr>
          <w:p w14:paraId="2B98B56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王永刚</w:t>
            </w:r>
          </w:p>
        </w:tc>
        <w:tc>
          <w:tcPr>
            <w:tcW w:w="1217" w:type="dxa"/>
          </w:tcPr>
          <w:p w14:paraId="47A4D8B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62</w:t>
            </w:r>
          </w:p>
        </w:tc>
        <w:tc>
          <w:tcPr>
            <w:tcW w:w="1217" w:type="dxa"/>
          </w:tcPr>
          <w:p w14:paraId="571FC9A1">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教授</w:t>
            </w:r>
          </w:p>
        </w:tc>
        <w:tc>
          <w:tcPr>
            <w:tcW w:w="1218" w:type="dxa"/>
          </w:tcPr>
          <w:p w14:paraId="6E425AF7">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中国民航大学
安全科学与工程学院</w:t>
            </w:r>
          </w:p>
        </w:tc>
        <w:tc>
          <w:tcPr>
            <w:tcW w:w="1218" w:type="dxa"/>
          </w:tcPr>
          <w:p w14:paraId="2CA6454B">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质量管理、安全管理</w:t>
            </w:r>
          </w:p>
        </w:tc>
        <w:tc>
          <w:tcPr>
            <w:tcW w:w="1218" w:type="dxa"/>
          </w:tcPr>
          <w:p w14:paraId="604BEC54">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低空安全治理与应急响应</w:t>
            </w:r>
          </w:p>
        </w:tc>
      </w:tr>
      <w:tr w14:paraId="71F4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341124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12</w:t>
            </w:r>
          </w:p>
        </w:tc>
        <w:tc>
          <w:tcPr>
            <w:tcW w:w="1217" w:type="dxa"/>
          </w:tcPr>
          <w:p w14:paraId="111DDD71">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陈艳彦</w:t>
            </w:r>
          </w:p>
        </w:tc>
        <w:tc>
          <w:tcPr>
            <w:tcW w:w="1217" w:type="dxa"/>
          </w:tcPr>
          <w:p w14:paraId="6A0B332F">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vertAlign w:val="baseline"/>
                <w:lang w:val="en-US" w:eastAsia="zh-CN"/>
              </w:rPr>
              <w:t>46</w:t>
            </w:r>
          </w:p>
        </w:tc>
        <w:tc>
          <w:tcPr>
            <w:tcW w:w="1217" w:type="dxa"/>
          </w:tcPr>
          <w:p w14:paraId="7E582189">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lang w:val="en-US" w:eastAsia="zh-CN"/>
              </w:rPr>
              <w:t>副</w:t>
            </w:r>
            <w:r>
              <w:rPr>
                <w:rFonts w:hint="eastAsia" w:ascii="方正公文仿宋" w:hAnsi="方正公文仿宋" w:eastAsia="方正公文仿宋" w:cs="方正公文仿宋"/>
                <w:b w:val="0"/>
                <w:bCs w:val="0"/>
                <w:sz w:val="28"/>
                <w:szCs w:val="28"/>
              </w:rPr>
              <w:t>教授</w:t>
            </w:r>
          </w:p>
        </w:tc>
        <w:tc>
          <w:tcPr>
            <w:tcW w:w="1218" w:type="dxa"/>
          </w:tcPr>
          <w:p w14:paraId="6059FD20">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中国民航管理
干部学院</w:t>
            </w:r>
          </w:p>
        </w:tc>
        <w:tc>
          <w:tcPr>
            <w:tcW w:w="1218" w:type="dxa"/>
          </w:tcPr>
          <w:p w14:paraId="01A55CD5">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空中交通管理、空域管理</w:t>
            </w:r>
          </w:p>
        </w:tc>
        <w:tc>
          <w:tcPr>
            <w:tcW w:w="1218" w:type="dxa"/>
          </w:tcPr>
          <w:p w14:paraId="1BFB33BC">
            <w:pPr>
              <w:spacing w:line="360" w:lineRule="auto"/>
              <w:jc w:val="left"/>
              <w:rPr>
                <w:rFonts w:hint="eastAsia" w:ascii="方正公文仿宋" w:hAnsi="方正公文仿宋" w:eastAsia="方正公文仿宋" w:cs="方正公文仿宋"/>
                <w:b w:val="0"/>
                <w:bCs w:val="0"/>
                <w:sz w:val="28"/>
                <w:szCs w:val="28"/>
                <w:vertAlign w:val="baseline"/>
                <w:lang w:val="en-US" w:eastAsia="zh-CN"/>
              </w:rPr>
            </w:pPr>
            <w:r>
              <w:rPr>
                <w:rFonts w:hint="eastAsia" w:ascii="方正公文仿宋" w:hAnsi="方正公文仿宋" w:eastAsia="方正公文仿宋" w:cs="方正公文仿宋"/>
                <w:b w:val="0"/>
                <w:bCs w:val="0"/>
                <w:sz w:val="28"/>
                <w:szCs w:val="28"/>
              </w:rPr>
              <w:t>城市空中交通运行概念与未来发展</w:t>
            </w:r>
          </w:p>
        </w:tc>
      </w:tr>
    </w:tbl>
    <w:p w14:paraId="3865D23D">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4.课程设置：</w:t>
      </w:r>
    </w:p>
    <w:p w14:paraId="0C72E198">
      <w:pPr>
        <w:spacing w:line="360" w:lineRule="auto"/>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共设置5门核心课程，总学分10学分、总学时160学时。课程体系坚持"理论与实践并重、创新与应用融合"的建设理念，采用课堂教学、项目实训、案例研讨与工作坊式学习等多元教学形式，形成"理论认知→技术理解→方法应用→创新实践"的递进式培养路径。</w:t>
      </w:r>
    </w:p>
    <w:tbl>
      <w:tblPr>
        <w:tblStyle w:val="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55"/>
        <w:gridCol w:w="892"/>
        <w:gridCol w:w="791"/>
        <w:gridCol w:w="1972"/>
        <w:gridCol w:w="1479"/>
        <w:gridCol w:w="1581"/>
      </w:tblGrid>
      <w:tr w14:paraId="718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400"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120" w:type="dxa"/>
              <w:bottom w:w="80" w:type="dxa"/>
              <w:right w:w="120" w:type="dxa"/>
            </w:tcMar>
            <w:vAlign w:val="center"/>
          </w:tcPr>
          <w:p w14:paraId="14F23810">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课程名称</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9A35058">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学时</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81CE21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学分</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121337B">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开课学期</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1B698BB">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学习方式</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49D3B50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考核方式</w:t>
            </w:r>
          </w:p>
        </w:tc>
      </w:tr>
      <w:tr w14:paraId="251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909D478">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低空经济概论</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9A0468A">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BA541F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31D54AE">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第2学期（下）+暑假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D0D365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线上线下结合</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A3D45FB">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考试</w:t>
            </w:r>
          </w:p>
        </w:tc>
      </w:tr>
      <w:tr w14:paraId="4FBC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8D75298">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低空产业政策与合规专题</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55D5E55">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327D26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1FCDE64">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第2学期（下）+暑假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21989A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线上线下结合</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B90D981">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考试</w:t>
            </w:r>
          </w:p>
        </w:tc>
      </w:tr>
      <w:tr w14:paraId="5ED4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37FE522">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无人机物流系统设计与优化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56997C9">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028C83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E376E8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第2学期（下）+暑假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1681EC4">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线上线下结合</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B0C7428">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项目答辩</w:t>
            </w:r>
          </w:p>
        </w:tc>
      </w:tr>
      <w:tr w14:paraId="69A6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6933A1E">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低空技术通识</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A94CADE">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F90788B">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F7916ED">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第3学期（上）+寒假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18A285C">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线上线下结合</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0F2CC65">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项目答辩</w:t>
            </w:r>
          </w:p>
        </w:tc>
      </w:tr>
      <w:tr w14:paraId="6628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37A9326">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无人机和eVTOL模拟飞行实训</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78B67DE">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8B5337D">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D372DE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第3学期（上）+寒假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6BB99A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校企合作项目</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FAAF22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val="0"/>
                <w:color w:val="000000"/>
                <w:sz w:val="28"/>
                <w:szCs w:val="28"/>
              </w:rPr>
              <w:t>实操任务</w:t>
            </w:r>
          </w:p>
        </w:tc>
      </w:tr>
      <w:tr w14:paraId="2557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0D661F0">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合  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1C4234C">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4FA52E5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EEE8A09">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CE99DF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03395D0">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w:t>
            </w:r>
          </w:p>
        </w:tc>
      </w:tr>
    </w:tbl>
    <w:p w14:paraId="6AB30E74">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各课程核心内容：</w:t>
      </w:r>
    </w:p>
    <w:p w14:paraId="2B72B1F9">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低空经济概论》（2学分/32学时）：解析低空经济内涵、构成、空域开放政策与产业链结构；系统梳理低空物流、城市空中出行、通航服务等典型业态的发展模式；探讨低空经济与数字化、绿色发展的互动关系。</w:t>
      </w:r>
    </w:p>
    <w:p w14:paraId="59425B37">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低空产业政策与合规专题》（2学分/32学时）：系统解读低空经济政策法规框架（空域管理、安全标准、技术创新支持），分析企业合规经营要点（资质认证、数据安全、飞行风险防控），赋能产业健康发展。</w:t>
      </w:r>
    </w:p>
    <w:p w14:paraId="0CE02975">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●《无人机物流系统设计与优化》（2学分/32学时）：围绕无人机物流系统全生命周期展开，涵盖设计原理、关键技术、优化方法及行业应用，培养从系统搭建到实际落地的综合能力。</w:t>
      </w:r>
    </w:p>
    <w:p w14:paraId="188CD6CC">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●《低空技术通识》（2学分/32学时）：介绍eVTOL与无人机系统的原理、构造、运行机制及产业生态；分析技术标准、监管框架及商业模式创新，培养技术认知与产业评估能力。</w:t>
      </w:r>
    </w:p>
    <w:p w14:paraId="63835E66">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●《无人机和eVTOL模拟飞行实训》（2学分/32学时）：无人机和eVTOL结构原理、操控规范与法规、模拟器专项训练、突发情况应对、维护与故障排查（校企合作实操课程）。</w:t>
      </w:r>
    </w:p>
    <w:p w14:paraId="5F49F32F">
      <w:pPr>
        <w:spacing w:line="360" w:lineRule="auto"/>
        <w:jc w:val="left"/>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考核方式：采用多元评价体系，既有传统笔试，也有"过程考核（项目执行）＋成果考核（数据报告/解决方案）＋角色贡献度"的综合评价。</w:t>
      </w:r>
    </w:p>
    <w:p w14:paraId="52324B46">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5.招生对象与报名要求：</w:t>
      </w:r>
    </w:p>
    <w:p w14:paraId="3AB42709">
      <w:pPr>
        <w:spacing w:before="60" w:after="60" w:line="360" w:lineRule="auto"/>
        <w:ind w:firstLine="280"/>
        <w:jc w:val="both"/>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招生年级：</w:t>
      </w:r>
      <w:r>
        <w:rPr>
          <w:rFonts w:hint="eastAsia" w:ascii="方正公文仿宋" w:hAnsi="方正公文仿宋" w:eastAsia="方正公文仿宋" w:cs="方正公文仿宋"/>
          <w:sz w:val="28"/>
          <w:szCs w:val="28"/>
        </w:rPr>
        <w:t>面向华南师范大学全日制在校本科生，2025—2026学年重点招募2023级（准毕业生，占名额70%）和2024级（占名额30%）学生。</w:t>
      </w:r>
    </w:p>
    <w:tbl>
      <w:tblPr>
        <w:tblStyle w:val="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74"/>
        <w:gridCol w:w="1778"/>
        <w:gridCol w:w="1772"/>
        <w:gridCol w:w="3546"/>
      </w:tblGrid>
      <w:tr w14:paraId="2F4F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000"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120" w:type="dxa"/>
              <w:bottom w:w="80" w:type="dxa"/>
              <w:right w:w="120" w:type="dxa"/>
            </w:tcMar>
            <w:vAlign w:val="center"/>
          </w:tcPr>
          <w:p w14:paraId="67FF33C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年级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1D93AC0">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招生比例</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D77F251">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招生人数</w:t>
            </w:r>
          </w:p>
        </w:tc>
        <w:tc>
          <w:tcPr>
            <w:tcW w:w="3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EDB735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备注</w:t>
            </w:r>
          </w:p>
        </w:tc>
      </w:tr>
      <w:tr w14:paraId="2107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53A3650">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2023级（准毕业生）</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1ACC23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70%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E507C0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14人</w:t>
            </w:r>
          </w:p>
        </w:tc>
        <w:tc>
          <w:tcPr>
            <w:tcW w:w="3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116BB1C">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优先保障准毕业生在毕业前完成微专业修读</w:t>
            </w:r>
          </w:p>
        </w:tc>
      </w:tr>
      <w:tr w14:paraId="46ED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004A91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2024级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ACFFE32">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0AE404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6人</w:t>
            </w:r>
          </w:p>
        </w:tc>
        <w:tc>
          <w:tcPr>
            <w:tcW w:w="3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1A6A57D3">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与2023级混班教学，修业年限内完成</w:t>
            </w:r>
          </w:p>
        </w:tc>
      </w:tr>
      <w:tr w14:paraId="250B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F6C8BB0">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合  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2B6F00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54011D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20人</w:t>
            </w:r>
          </w:p>
        </w:tc>
        <w:tc>
          <w:tcPr>
            <w:tcW w:w="36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1814031">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w:t>
            </w:r>
          </w:p>
        </w:tc>
      </w:tr>
    </w:tbl>
    <w:p w14:paraId="484F899B">
      <w:pPr>
        <w:spacing w:line="360" w:lineRule="auto"/>
        <w:jc w:val="left"/>
        <w:rPr>
          <w:rFonts w:hint="eastAsia" w:ascii="方正公文仿宋" w:hAnsi="方正公文仿宋" w:eastAsia="方正公文仿宋" w:cs="方正公文仿宋"/>
          <w:b w:val="0"/>
          <w:bCs w:val="0"/>
          <w:sz w:val="28"/>
          <w:szCs w:val="28"/>
          <w:lang w:val="en-US" w:eastAsia="zh-CN"/>
        </w:rPr>
      </w:pPr>
      <w:r>
        <w:rPr>
          <w:rFonts w:hint="eastAsia" w:ascii="方正公文仿宋" w:hAnsi="方正公文仿宋" w:eastAsia="方正公文仿宋" w:cs="方正公文仿宋"/>
          <w:b/>
          <w:bCs/>
          <w:sz w:val="28"/>
          <w:szCs w:val="28"/>
          <w:lang w:val="en-US" w:eastAsia="zh-CN"/>
        </w:rPr>
        <w:t>专业背景</w:t>
      </w:r>
      <w:r>
        <w:rPr>
          <w:rFonts w:hint="eastAsia" w:ascii="方正公文仿宋" w:hAnsi="方正公文仿宋" w:eastAsia="方正公文仿宋" w:cs="方正公文仿宋"/>
          <w:b w:val="0"/>
          <w:bCs w:val="0"/>
          <w:sz w:val="28"/>
          <w:szCs w:val="28"/>
          <w:lang w:val="en-US" w:eastAsia="zh-CN"/>
        </w:rPr>
        <w:t>：不限专业，欢迎跨学科选修。具有经济学、管理学、工科、计算机、法学等相关学科背景者优先。</w:t>
      </w:r>
    </w:p>
    <w:p w14:paraId="4808D9ED">
      <w:pPr>
        <w:spacing w:line="360" w:lineRule="auto"/>
        <w:jc w:val="left"/>
        <w:rPr>
          <w:rFonts w:hint="eastAsia" w:ascii="方正公文仿宋" w:hAnsi="方正公文仿宋" w:eastAsia="方正公文仿宋" w:cs="方正公文仿宋"/>
          <w:b w:val="0"/>
          <w:bCs w:val="0"/>
          <w:sz w:val="28"/>
          <w:szCs w:val="28"/>
          <w:lang w:val="en-US" w:eastAsia="zh-CN"/>
        </w:rPr>
      </w:pPr>
      <w:r>
        <w:rPr>
          <w:rFonts w:hint="eastAsia" w:ascii="方正公文仿宋" w:hAnsi="方正公文仿宋" w:eastAsia="方正公文仿宋" w:cs="方正公文仿宋"/>
          <w:b/>
          <w:bCs/>
          <w:sz w:val="28"/>
          <w:szCs w:val="28"/>
          <w:lang w:val="en-US" w:eastAsia="zh-CN"/>
        </w:rPr>
        <w:t>学业状况</w:t>
      </w:r>
      <w:r>
        <w:rPr>
          <w:rFonts w:hint="eastAsia" w:ascii="方正公文仿宋" w:hAnsi="方正公文仿宋" w:eastAsia="方正公文仿宋" w:cs="方正公文仿宋"/>
          <w:b w:val="0"/>
          <w:bCs w:val="0"/>
          <w:sz w:val="28"/>
          <w:szCs w:val="28"/>
          <w:lang w:val="en-US" w:eastAsia="zh-CN"/>
        </w:rPr>
        <w:t>：报名时主修专业无挂科情况（含补考通过），修业期间有充足余力兼顾主修课程。</w:t>
      </w:r>
    </w:p>
    <w:p w14:paraId="15EFFDA7">
      <w:pPr>
        <w:spacing w:line="360" w:lineRule="auto"/>
        <w:jc w:val="left"/>
        <w:rPr>
          <w:rFonts w:hint="eastAsia" w:ascii="方正公文仿宋" w:hAnsi="方正公文仿宋" w:eastAsia="方正公文仿宋" w:cs="方正公文仿宋"/>
          <w:b w:val="0"/>
          <w:bCs w:val="0"/>
          <w:sz w:val="28"/>
          <w:szCs w:val="28"/>
          <w:lang w:val="en-US" w:eastAsia="zh-CN"/>
        </w:rPr>
      </w:pPr>
      <w:r>
        <w:rPr>
          <w:rFonts w:hint="eastAsia" w:ascii="方正公文仿宋" w:hAnsi="方正公文仿宋" w:eastAsia="方正公文仿宋" w:cs="方正公文仿宋"/>
          <w:b/>
          <w:bCs/>
          <w:sz w:val="28"/>
          <w:szCs w:val="28"/>
          <w:lang w:val="en-US" w:eastAsia="zh-CN"/>
        </w:rPr>
        <w:t>学习意愿：</w:t>
      </w:r>
      <w:r>
        <w:rPr>
          <w:rFonts w:hint="eastAsia" w:ascii="方正公文仿宋" w:hAnsi="方正公文仿宋" w:eastAsia="方正公文仿宋" w:cs="方正公文仿宋"/>
          <w:b w:val="0"/>
          <w:bCs w:val="0"/>
          <w:sz w:val="28"/>
          <w:szCs w:val="28"/>
          <w:lang w:val="en-US" w:eastAsia="zh-CN"/>
        </w:rPr>
        <w:t>对低空经济、无人机与eVTOL产业、空中交通管理等领域有浓厚兴趣；愿意按时参加线上线下混合教学活动，并承担相关自费学习费用（如MOOC认证、企业实训、外地游学等，学校不另行收取学费）。</w:t>
      </w:r>
    </w:p>
    <w:p w14:paraId="09577A2A">
      <w:pPr>
        <w:spacing w:line="360" w:lineRule="auto"/>
        <w:jc w:val="left"/>
        <w:rPr>
          <w:rFonts w:hint="eastAsia" w:ascii="方正公文仿宋" w:hAnsi="方正公文仿宋" w:eastAsia="方正公文仿宋" w:cs="方正公文仿宋"/>
          <w:b/>
          <w:bCs/>
          <w:sz w:val="28"/>
          <w:szCs w:val="28"/>
          <w:lang w:val="en-US" w:eastAsia="zh-CN"/>
        </w:rPr>
      </w:pPr>
      <w:r>
        <w:rPr>
          <w:rFonts w:hint="eastAsia" w:ascii="方正公文仿宋" w:hAnsi="方正公文仿宋" w:eastAsia="方正公文仿宋" w:cs="方正公文仿宋"/>
          <w:b/>
          <w:bCs/>
          <w:sz w:val="28"/>
          <w:szCs w:val="28"/>
          <w:lang w:val="en-US" w:eastAsia="zh-CN"/>
        </w:rPr>
        <w:t>名额限制</w:t>
      </w:r>
      <w:r>
        <w:rPr>
          <w:rFonts w:hint="eastAsia" w:ascii="方正公文仿宋" w:hAnsi="方正公文仿宋" w:eastAsia="方正公文仿宋" w:cs="方正公文仿宋"/>
          <w:b w:val="0"/>
          <w:bCs w:val="0"/>
          <w:sz w:val="28"/>
          <w:szCs w:val="28"/>
          <w:lang w:val="en-US" w:eastAsia="zh-CN"/>
        </w:rPr>
        <w:t>：本期招生总名额20人，成班后不再扩招。遴选采用材料初审结合综合面试的方式，额满为止。</w:t>
      </w:r>
    </w:p>
    <w:p w14:paraId="5AE5561F">
      <w:pPr>
        <w:spacing w:line="360" w:lineRule="auto"/>
        <w:jc w:val="left"/>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lang w:val="en-US" w:eastAsia="zh-CN"/>
        </w:rPr>
        <w:t>6.</w:t>
      </w:r>
      <w:r>
        <w:rPr>
          <w:rFonts w:hint="eastAsia" w:ascii="方正公文仿宋" w:hAnsi="方正公文仿宋" w:eastAsia="方正公文仿宋" w:cs="方正公文仿宋"/>
          <w:b/>
          <w:bCs/>
          <w:sz w:val="28"/>
          <w:szCs w:val="28"/>
        </w:rPr>
        <w:t>报名方式与报名时间：</w:t>
      </w:r>
    </w:p>
    <w:p w14:paraId="3D9581F5">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报名时间：【请填写具体日期，如：2025年XX月XX日（周X）至XX月XX日（周X）17:00截止】</w:t>
      </w:r>
    </w:p>
    <w:p w14:paraId="468406D6">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报名方式：扫描下方二维码或点击报名链接填写电子报名表【请填写二维码/链接】，并向学院联系人发送以下材料：</w:t>
      </w:r>
    </w:p>
    <w:p w14:paraId="6A05BBBA">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●个人简历（含姓名、年级、专业、联系方式、学业情况）；</w:t>
      </w:r>
    </w:p>
    <w:p w14:paraId="42C059F6">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●个人陈述（500字以内，说明报名动机及对低空经济的了解与兴趣）；</w:t>
      </w:r>
    </w:p>
    <w:p w14:paraId="0196C514">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●近期学业成绩单（可在教务系统自行打印）。</w:t>
      </w:r>
    </w:p>
    <w:p w14:paraId="59151FF8">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邮件主题：【低空经济微专业报名】姓名＋年级＋专业</w:t>
      </w:r>
    </w:p>
    <w:p w14:paraId="7EF07D29">
      <w:pPr>
        <w:spacing w:line="360" w:lineRule="auto"/>
        <w:jc w:val="left"/>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 报名材料仅用于遴选，不作其他用途；报名即视为认可本遴选说明中的相关规定。</w:t>
      </w:r>
    </w:p>
    <w:p w14:paraId="052B9E06">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7.宣讲互动方式、时间、地点：</w:t>
      </w:r>
    </w:p>
    <w:p w14:paraId="038C6571">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为帮助同学们充分了解本微专业，学院将组织以下宣传推广活动：</w:t>
      </w:r>
    </w:p>
    <w:p w14:paraId="78CFE763">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专题宣讲会：时间【请填写，如：2025年XX月XX日（周X）XX:XX】；地点【请填写，如：石牌校区经管楼XXX报告厅】。专业负责人王智波教授及核心师资出席，详细介绍培养方案、课程设置、就业前景及报名流程，并解答同学提问。</w:t>
      </w:r>
    </w:p>
    <w:p w14:paraId="676D96FF">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●线上直播同步答疑：同步开设线上直播间，供无法到场同学参与；直播链接将提前通过学院官微、微信群等渠道发布。</w:t>
      </w:r>
    </w:p>
    <w:p w14:paraId="0C30A701">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●学院官方微信公众号：持续发布专业介绍、行业资讯、师生问答等内容，欢迎关注"华师经管院"公众号。</w:t>
      </w:r>
    </w:p>
    <w:p w14:paraId="06E43CFF">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●微信报名咨询群：报名后加入官方报名咨询群，由联系老师实时解答报名及课程相关问题（群二维码见报名链接页面）。</w:t>
      </w:r>
    </w:p>
    <w:p w14:paraId="48076E5D">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8.遴选方式、时间、地点：</w:t>
      </w:r>
    </w:p>
    <w:p w14:paraId="0A61DE3B">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遴选工作由经济与管理学院微专业招生工作小组负责，程序如下：</w:t>
      </w:r>
    </w:p>
    <w:p w14:paraId="15541ABA">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rPr>
        <w:t>1</w:t>
      </w: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rPr>
        <w:t>材料初审：报名截止后3个工作日内，对报名材料进行资格审查，重点审核年级专业、学业状况及个人陈述质量，确定进入综合面试名单。</w:t>
      </w:r>
    </w:p>
    <w:p w14:paraId="30479B46">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2）</w:t>
      </w:r>
      <w:r>
        <w:rPr>
          <w:rFonts w:hint="eastAsia" w:ascii="方正公文仿宋" w:hAnsi="方正公文仿宋" w:eastAsia="方正公文仿宋" w:cs="方正公文仿宋"/>
          <w:b w:val="0"/>
          <w:bCs w:val="0"/>
          <w:sz w:val="28"/>
          <w:szCs w:val="28"/>
        </w:rPr>
        <w:t>综合面试（报名人数超过招生名额1.5倍时启动）：时间【请填写，如：2025年XX月XX日（周X）XX:XX起】；地点【请填写，如：石牌校区经管楼XXX会议室】。以小组讨论或个人陈述为主，考察学习动机、跨学科思维与表达能力，约5—10分钟/人。</w:t>
      </w:r>
    </w:p>
    <w:p w14:paraId="082E8A1D">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3）</w:t>
      </w:r>
      <w:r>
        <w:rPr>
          <w:rFonts w:hint="eastAsia" w:ascii="方正公文仿宋" w:hAnsi="方正公文仿宋" w:eastAsia="方正公文仿宋" w:cs="方正公文仿宋"/>
          <w:b w:val="0"/>
          <w:bCs w:val="0"/>
          <w:sz w:val="28"/>
          <w:szCs w:val="28"/>
        </w:rPr>
        <w:t>录取公示：综合面试结束后2个工作日内，在学院官网及官方微信公众号公布拟录取名单，公示期3天。</w:t>
      </w:r>
    </w:p>
    <w:p w14:paraId="5A51E32F">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4）</w:t>
      </w:r>
      <w:r>
        <w:rPr>
          <w:rFonts w:hint="eastAsia" w:ascii="方正公文仿宋" w:hAnsi="方正公文仿宋" w:eastAsia="方正公文仿宋" w:cs="方正公文仿宋"/>
          <w:b w:val="0"/>
          <w:bCs w:val="0"/>
          <w:sz w:val="28"/>
          <w:szCs w:val="28"/>
        </w:rPr>
        <w:t>正式录取：公示无异议后，由学院教务老师办理选课注册手续，完成录取。</w:t>
      </w:r>
    </w:p>
    <w:p w14:paraId="3ABDC951">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 若报名人数未超过招生上限，经材料初审合格后直接录取，不另行组织面试。</w:t>
      </w:r>
    </w:p>
    <w:p w14:paraId="7101E595">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9.教学安排：</w:t>
      </w:r>
    </w:p>
    <w:p w14:paraId="06CB684D">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本微专业修业年限为1年，分两个阶段利用课余时间（晚上、周末或寒暑假）修读，具体安排如下：</w:t>
      </w:r>
    </w:p>
    <w:tbl>
      <w:tblPr>
        <w:tblStyle w:val="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77"/>
        <w:gridCol w:w="1977"/>
        <w:gridCol w:w="2363"/>
        <w:gridCol w:w="1378"/>
        <w:gridCol w:w="1975"/>
      </w:tblGrid>
      <w:tr w14:paraId="0EAF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00"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120" w:type="dxa"/>
              <w:bottom w:w="80" w:type="dxa"/>
              <w:right w:w="120" w:type="dxa"/>
            </w:tcMar>
            <w:vAlign w:val="center"/>
          </w:tcPr>
          <w:p w14:paraId="6D9FA3B9">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阶段</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40FF2EE">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时间节点</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2E51837">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主要课程</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76B33F0D">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教学形式</w:t>
            </w:r>
          </w:p>
        </w:tc>
        <w:tc>
          <w:tcPr>
            <w:tcW w:w="20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397C5916">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bCs/>
                <w:color w:val="000000"/>
                <w:sz w:val="28"/>
                <w:szCs w:val="28"/>
              </w:rPr>
              <w:t>地点</w:t>
            </w:r>
          </w:p>
        </w:tc>
      </w:tr>
      <w:tr w14:paraId="4CB4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8C71D7F">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第一学期</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8490808">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第2学期（下）+暑假</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CD4779C">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低空经济概论、低空产业政策与合规专题、无人机物流系统设计与优化</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5D4701B">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线上线下混合</w:t>
            </w:r>
          </w:p>
        </w:tc>
        <w:tc>
          <w:tcPr>
            <w:tcW w:w="20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8E6E6B6">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石牌校区经管学院（线上部分远程参与）</w:t>
            </w:r>
          </w:p>
        </w:tc>
      </w:tr>
      <w:tr w14:paraId="7B56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66B64EA4">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第二学期</w:t>
            </w:r>
          </w:p>
        </w:tc>
        <w:tc>
          <w:tcPr>
            <w:tcW w:w="20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CBEE123">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第3学期（上）+寒假</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2E72BC70">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低空技术通识、无人机和eVTOL模拟飞行实训</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0D57FF3D">
            <w:pPr>
              <w:spacing w:line="360" w:lineRule="auto"/>
              <w:jc w:val="center"/>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校企合作项目实训</w:t>
            </w:r>
          </w:p>
        </w:tc>
        <w:tc>
          <w:tcPr>
            <w:tcW w:w="2006" w:type="dxa"/>
            <w:tcBorders>
              <w:top w:val="single" w:color="000000" w:sz="4" w:space="0"/>
              <w:left w:val="single" w:color="000000" w:sz="4" w:space="0"/>
              <w:bottom w:val="single" w:color="000000" w:sz="4" w:space="0"/>
              <w:right w:val="single" w:color="000000" w:sz="4" w:space="0"/>
            </w:tcBorders>
            <w:shd w:val="clear" w:color="auto" w:fill="FFFFFF"/>
            <w:tcMar>
              <w:top w:w="80" w:type="dxa"/>
              <w:left w:w="120" w:type="dxa"/>
              <w:bottom w:w="80" w:type="dxa"/>
              <w:right w:w="120" w:type="dxa"/>
            </w:tcMar>
            <w:vAlign w:val="center"/>
          </w:tcPr>
          <w:p w14:paraId="56A01C01">
            <w:pPr>
              <w:spacing w:line="360" w:lineRule="auto"/>
              <w:jc w:val="left"/>
              <w:rPr>
                <w:rFonts w:hint="eastAsia" w:ascii="方正公文仿宋" w:hAnsi="方正公文仿宋" w:eastAsia="方正公文仿宋" w:cs="方正公文仿宋"/>
                <w:b w:val="0"/>
                <w:color w:val="000000"/>
                <w:sz w:val="28"/>
                <w:szCs w:val="28"/>
              </w:rPr>
            </w:pPr>
            <w:r>
              <w:rPr>
                <w:rFonts w:hint="eastAsia" w:ascii="方正公文仿宋" w:hAnsi="方正公文仿宋" w:eastAsia="方正公文仿宋" w:cs="方正公文仿宋"/>
                <w:b w:val="0"/>
                <w:color w:val="000000"/>
                <w:sz w:val="28"/>
                <w:szCs w:val="28"/>
              </w:rPr>
              <w:t>石牌校区+合作企业实训基地</w:t>
            </w:r>
          </w:p>
        </w:tc>
      </w:tr>
    </w:tbl>
    <w:p w14:paraId="5EBCE6F2">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●授课形式：混合学习制，包括线上慕课学习、线下课堂教学、设计工作坊、学术讲座及企业参观调研等。</w:t>
      </w:r>
    </w:p>
    <w:p w14:paraId="04F756A5">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●实训安排：《无人机和eVTOL模拟飞行实训》在广东晔生航空科技有限公司等合作企业基地开展，具体时间另行通知。</w:t>
      </w:r>
    </w:p>
    <w:p w14:paraId="0ECA2E87">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●教学地点：线下教学主要安排在华南师范大学石牌校区经管学院；实训教学在合作企业或实训基地进行。</w:t>
      </w:r>
    </w:p>
    <w:p w14:paraId="71DF8E84">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10.结业要求： </w:t>
      </w:r>
    </w:p>
    <w:p w14:paraId="26D7667E">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修业年限：1年（通常为两个学期）。</w:t>
      </w:r>
    </w:p>
    <w:p w14:paraId="5A605203">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学分要求：修满全部10个学分（5门课程，每门2学分）。</w:t>
      </w:r>
    </w:p>
    <w:p w14:paraId="190C5056">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综合考核：完成全部课程学习且考核合格；参加结业综合项目设计答辩且成绩合格（内容涵盖低空经济创新项目的市场研究、政策分析、经济可行性评估与解决方案展示）。</w:t>
      </w:r>
    </w:p>
    <w:p w14:paraId="0B570F41">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证书颁发：满足上述要求并经经济与管理学院审核、上报本科生院审定后，可获得由华南师范大学本科生院统一颁发的微专业证书（证书不具备学历、学位证书效力）。</w:t>
      </w:r>
    </w:p>
    <w:p w14:paraId="023D0DBB">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rPr>
        <w:t>特别说明：微专业的学习管理与成绩记载将纳入学校教务管理系统和学信网；修读的学分和成绩不计入学生综合测评，不用于申评国家奖学金及申请推免攻读硕士研究</w:t>
      </w:r>
      <w:r>
        <w:rPr>
          <w:rFonts w:hint="eastAsia" w:ascii="方正公文仿宋" w:hAnsi="方正公文仿宋" w:eastAsia="方正公文仿宋" w:cs="方正公文仿宋"/>
          <w:sz w:val="28"/>
          <w:szCs w:val="28"/>
        </w:rPr>
        <w:t>生等资格。</w:t>
      </w:r>
    </w:p>
    <w:p w14:paraId="794C343A">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11.管理措施和要求：</w:t>
      </w:r>
    </w:p>
    <w:p w14:paraId="5077994B">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val="en-US" w:eastAsia="zh-CN"/>
        </w:rPr>
        <w:t>（1</w:t>
      </w: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rPr>
        <w:t>跨学科分组学习。修读同学按跨专业背景组建稳定学习小组，在导师组指导下共同开展小组学习与调研报告撰写，协力完成软著专利或学术论文等可视化成果，并参与结业综合项目展示答辩。</w:t>
      </w:r>
    </w:p>
    <w:p w14:paraId="5724EFEF">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val="en-US" w:eastAsia="zh-CN"/>
        </w:rPr>
        <w:t>（2）</w:t>
      </w:r>
      <w:r>
        <w:rPr>
          <w:rFonts w:hint="eastAsia" w:ascii="方正公文仿宋" w:hAnsi="方正公文仿宋" w:eastAsia="方正公文仿宋" w:cs="方正公文仿宋"/>
          <w:b w:val="0"/>
          <w:bCs w:val="0"/>
          <w:sz w:val="28"/>
          <w:szCs w:val="28"/>
        </w:rPr>
        <w:t>混合学习制。以学术讲座、设计工作坊、慕课学习、线上线下混合式学习、低空经济企业参观及赴大湾区调研等方式进行学习，学生须按规定完成各阶段学习任务。</w:t>
      </w:r>
    </w:p>
    <w:p w14:paraId="5A3981F6">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3）</w:t>
      </w:r>
      <w:r>
        <w:rPr>
          <w:rFonts w:hint="eastAsia" w:ascii="方正公文仿宋" w:hAnsi="方正公文仿宋" w:eastAsia="方正公文仿宋" w:cs="方正公文仿宋"/>
          <w:b w:val="0"/>
          <w:bCs w:val="0"/>
          <w:sz w:val="28"/>
          <w:szCs w:val="28"/>
        </w:rPr>
        <w:t>弹性退出机制。修读期间，如学生主修专业必修课出现挂科（含补考），将暂停其修读微专业资格；如最终未能达到学分要求或中途退出，将不获颁微专业证书，已修学分可作为选修学分记录在案。</w:t>
      </w:r>
    </w:p>
    <w:p w14:paraId="628182B5">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4）</w:t>
      </w:r>
      <w:r>
        <w:rPr>
          <w:rFonts w:hint="eastAsia" w:ascii="方正公文仿宋" w:hAnsi="方正公文仿宋" w:eastAsia="方正公文仿宋" w:cs="方正公文仿宋"/>
          <w:b w:val="0"/>
          <w:bCs w:val="0"/>
          <w:sz w:val="28"/>
          <w:szCs w:val="28"/>
        </w:rPr>
        <w:t>考勤与纪律。课程考勤按微专业教学规定执行；无故缺勤超过规定比例者，取消该课程考核资格，须重修。</w:t>
      </w:r>
    </w:p>
    <w:p w14:paraId="59FDF429">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5）</w:t>
      </w:r>
      <w:r>
        <w:rPr>
          <w:rFonts w:hint="eastAsia" w:ascii="方正公文仿宋" w:hAnsi="方正公文仿宋" w:eastAsia="方正公文仿宋" w:cs="方正公文仿宋"/>
          <w:b w:val="0"/>
          <w:bCs w:val="0"/>
          <w:sz w:val="28"/>
          <w:szCs w:val="28"/>
        </w:rPr>
        <w:t>经费说明。学校暂不收取学费；学习资料、MOOC认证、企业实习、飞行实训、外地游学等费用由学生自理，请报名前充分评估自身情况。</w:t>
      </w:r>
    </w:p>
    <w:p w14:paraId="758A552A">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6）</w:t>
      </w:r>
      <w:r>
        <w:rPr>
          <w:rFonts w:hint="eastAsia" w:ascii="方正公文仿宋" w:hAnsi="方正公文仿宋" w:eastAsia="方正公文仿宋" w:cs="方正公文仿宋"/>
          <w:b w:val="0"/>
          <w:bCs w:val="0"/>
          <w:sz w:val="28"/>
          <w:szCs w:val="28"/>
        </w:rPr>
        <w:t>学分认定。本微专业修读的学分和成绩不计入综合测评、国家奖学金评定及推免研究生申请资格，但可作为个人能力提升及就业求职的有力证明材料。</w:t>
      </w:r>
    </w:p>
    <w:p w14:paraId="0494C527">
      <w:pPr>
        <w:spacing w:line="360" w:lineRule="auto"/>
        <w:rPr>
          <w:rFonts w:hint="eastAsia" w:ascii="方正公文仿宋" w:hAnsi="方正公文仿宋" w:eastAsia="方正公文仿宋" w:cs="方正公文仿宋"/>
          <w:b w:val="0"/>
          <w:bCs w:val="0"/>
          <w:sz w:val="28"/>
          <w:szCs w:val="28"/>
        </w:rPr>
      </w:pPr>
      <w:r>
        <w:rPr>
          <w:rFonts w:hint="eastAsia" w:ascii="方正公文仿宋" w:hAnsi="方正公文仿宋" w:eastAsia="方正公文仿宋" w:cs="方正公文仿宋"/>
          <w:b w:val="0"/>
          <w:bCs w:val="0"/>
          <w:sz w:val="28"/>
          <w:szCs w:val="28"/>
          <w:lang w:eastAsia="zh-CN"/>
        </w:rPr>
        <w:t>（</w:t>
      </w:r>
      <w:r>
        <w:rPr>
          <w:rFonts w:hint="eastAsia" w:ascii="方正公文仿宋" w:hAnsi="方正公文仿宋" w:eastAsia="方正公文仿宋" w:cs="方正公文仿宋"/>
          <w:b w:val="0"/>
          <w:bCs w:val="0"/>
          <w:sz w:val="28"/>
          <w:szCs w:val="28"/>
          <w:lang w:val="en-US" w:eastAsia="zh-CN"/>
        </w:rPr>
        <w:t>7）</w:t>
      </w:r>
      <w:r>
        <w:rPr>
          <w:rFonts w:hint="eastAsia" w:ascii="方正公文仿宋" w:hAnsi="方正公文仿宋" w:eastAsia="方正公文仿宋" w:cs="方正公文仿宋"/>
          <w:b w:val="0"/>
          <w:bCs w:val="0"/>
          <w:sz w:val="28"/>
          <w:szCs w:val="28"/>
        </w:rPr>
        <w:t>解释权归属。本微专业人才培养方案及本遴选说明的最终解释权，归华南师范大学本科生院及经济与管理学院所有。</w:t>
      </w:r>
    </w:p>
    <w:p w14:paraId="653B79E2">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2CDBD645">
      <w:pPr>
        <w:spacing w:line="360" w:lineRule="auto"/>
        <w:ind w:firstLine="560" w:firstLineChars="200"/>
        <w:rPr>
          <w:rFonts w:hint="eastAsia" w:ascii="方正公文仿宋" w:hAnsi="方正公文仿宋" w:eastAsia="方正公文仿宋" w:cs="方正公文仿宋"/>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1BF8090E-FF49-45A1-B3F0-9743C2AA1498}"/>
  </w:font>
  <w:font w:name="方正公文仿宋">
    <w:panose1 w:val="02000500000000000000"/>
    <w:charset w:val="86"/>
    <w:family w:val="auto"/>
    <w:pitch w:val="default"/>
    <w:sig w:usb0="A00002BF" w:usb1="38CF7CFA" w:usb2="00000016" w:usb3="00000000" w:csb0="00040001" w:csb1="00000000"/>
    <w:embedRegular r:id="rId2" w:fontKey="{DEFC3AA1-AE4E-4207-A271-BCAF5BDA24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E49F6"/>
    <w:rsid w:val="023E49F6"/>
    <w:rsid w:val="050B371A"/>
    <w:rsid w:val="40D368B5"/>
    <w:rsid w:val="5AEC007A"/>
    <w:rsid w:val="7255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qFormat/>
    <w:uiPriority w:val="0"/>
    <w:rPr>
      <w:rFonts w:ascii="宋体" w:hAnsi="宋体" w:eastAsia="宋体" w:cs="宋体"/>
      <w:sz w:val="240"/>
      <w:szCs w:val="2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4821</Words>
  <Characters>5022</Characters>
  <Lines>0</Lines>
  <Paragraphs>0</Paragraphs>
  <TotalTime>0</TotalTime>
  <ScaleCrop>false</ScaleCrop>
  <LinksUpToDate>false</LinksUpToDate>
  <CharactersWithSpaces>5043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2026-03-18T02:24:00Z</dcterms:created>
  <dc:creator>嗯哼～</dc:creator>
  <cp:lastModifiedBy>Smile</cp:lastModifiedBy>
  <dcterms:modified xsi:type="dcterms:W3CDTF">2026-03-18T07:05:59Z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70DE7BD898B74FF39D9685C67435118C_11</vt:lpwstr>
  </property>
  <property fmtid="{D5CDD505-2E9C-101B-9397-08002B2CF9AE}" pid="4" name="KSOTemplateDocerSaveRecord">
    <vt:lpwstr>eyJoZGlkIjoiZGYwOWJlNTY0ZjMwYjcyMmUwNzA2ODU0ZTFhMTk2YzMiLCJ1c2VySWQiOiI1MTIxODgyMzYifQ==</vt:lpwstr>
  </property>
</Properties>
</file>