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E305D">
      <w:pPr>
        <w:spacing w:line="360" w:lineRule="auto"/>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2026年大模型与商业洞察微专业项目遴选说明</w:t>
      </w:r>
    </w:p>
    <w:p w14:paraId="7BD4EC41">
      <w:pPr>
        <w:spacing w:line="360" w:lineRule="auto"/>
        <w:rPr>
          <w:rFonts w:hint="eastAsia" w:ascii="宋体" w:hAnsi="宋体" w:eastAsia="宋体"/>
          <w:sz w:val="24"/>
          <w:szCs w:val="24"/>
        </w:rPr>
      </w:pPr>
    </w:p>
    <w:p w14:paraId="6F7996B9">
      <w:pPr>
        <w:numPr>
          <w:ilvl w:val="0"/>
          <w:numId w:val="1"/>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专业简介：</w:t>
      </w:r>
    </w:p>
    <w:p w14:paraId="1C73B0D3">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大模型与商业洞察微专业面向数字经济快速发展和产业数字化转型的时代需求，依托高校学科优势与行业企业资源，聚焦“数据驱动决策”与“技术赋能商业”两大方向，采用校企协同、产教融合的建设模式，旨在培养具备扎实数据分析能力、熟悉商业逻辑、能够有效运用智能工具的复合型人才。通过系统化的训练，帮助学生掌握数据分析的基本方法与工具，理解大模型等新兴技术在商业场景中的应用路径，提升解决真实商业问题的能力，服务于市场营销、运营优化、客户管理等领域的决策效率提升，推动数字技术与实体经济的深度融合。</w:t>
      </w:r>
    </w:p>
    <w:p w14:paraId="1F4F898F">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2.培养特色：</w:t>
      </w:r>
    </w:p>
    <w:p w14:paraId="7E69283C">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本微专业以能力导向与实践应用为核心，形成以下五大特色：</w:t>
      </w:r>
    </w:p>
    <w:p w14:paraId="1B049794">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1</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rPr>
        <w:t>AI驱动的轻量化培养模式：聚焦大模型技术在商业分析中的应用，采用“高浓度”课程设计，帮助学生在短时间内掌握AI驱动决策的核心技能。</w:t>
      </w:r>
    </w:p>
    <w:p w14:paraId="2D240D3C">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2</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rPr>
        <w:t>校企协同的实践教学机制：联合行业企业共建教学资源，引入真实业务场景与案例，实行“双师（校内教师+企业导师）”指导，强化学生的动手能力与业务理解。</w:t>
      </w:r>
    </w:p>
    <w:p w14:paraId="2CDDCD1F">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3</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rPr>
        <w:t>技术与商业的深度融合：将大模型技术（如提示词工程、多模态分析）与传统数据分析工具（如Python、SQL、Power BI）相结合，培养学生的复合型技术能力。</w:t>
      </w:r>
    </w:p>
    <w:p w14:paraId="76270AB3">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4</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rPr>
        <w:t>数据伦理与规范意识并重：在教学中融入数据安全、隐私保护与职业规范，通过案例讨论与项目审查，培养学生的责任意识与合规思维。</w:t>
      </w:r>
    </w:p>
    <w:p w14:paraId="52CA72BD">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5</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rPr>
        <w:t>以学生为中心的灵活支持：根据学生专业背景与学习基础提供差异化资源与辅导，优化教学节奏与反馈机制，提升学习成效与教学体验。</w:t>
      </w:r>
    </w:p>
    <w:p w14:paraId="52FAAF7D">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3.师资力量：</w:t>
      </w:r>
    </w:p>
    <w:p w14:paraId="3BA09E72">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核心教学团队由经济与管理学院</w:t>
      </w:r>
      <w:r>
        <w:rPr>
          <w:rFonts w:hint="eastAsia" w:ascii="方正公文仿宋" w:hAnsi="方正公文仿宋" w:eastAsia="方正公文仿宋" w:cs="方正公文仿宋"/>
          <w:sz w:val="28"/>
          <w:szCs w:val="28"/>
          <w:lang w:val="en-US" w:eastAsia="zh-CN"/>
        </w:rPr>
        <w:t>7</w:t>
      </w:r>
      <w:r>
        <w:rPr>
          <w:rFonts w:hint="eastAsia" w:ascii="方正公文仿宋" w:hAnsi="方正公文仿宋" w:eastAsia="方正公文仿宋" w:cs="方正公文仿宋"/>
          <w:sz w:val="28"/>
          <w:szCs w:val="28"/>
        </w:rPr>
        <w:t>位专业教师和2位企业实战导师组成</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其中，</w:t>
      </w:r>
      <w:r>
        <w:rPr>
          <w:rFonts w:hint="eastAsia" w:ascii="方正公文仿宋" w:hAnsi="方正公文仿宋" w:eastAsia="方正公文仿宋" w:cs="方正公文仿宋"/>
          <w:sz w:val="28"/>
          <w:szCs w:val="28"/>
        </w:rPr>
        <w:t>教授</w:t>
      </w:r>
      <w:r>
        <w:rPr>
          <w:rFonts w:hint="eastAsia" w:ascii="方正公文仿宋" w:hAnsi="方正公文仿宋" w:eastAsia="方正公文仿宋" w:cs="方正公文仿宋"/>
          <w:sz w:val="28"/>
          <w:szCs w:val="28"/>
          <w:lang w:val="en-US" w:eastAsia="zh-CN"/>
        </w:rPr>
        <w:t>1</w:t>
      </w:r>
      <w:r>
        <w:rPr>
          <w:rFonts w:hint="eastAsia" w:ascii="方正公文仿宋" w:hAnsi="方正公文仿宋" w:eastAsia="方正公文仿宋" w:cs="方正公文仿宋"/>
          <w:sz w:val="28"/>
          <w:szCs w:val="28"/>
        </w:rPr>
        <w:t>名、副教授3名、讲师3名。实行“校内教师主讲理论、企业导师指导实践”的双师机制</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教学团队具备</w:t>
      </w:r>
      <w:r>
        <w:rPr>
          <w:rFonts w:hint="eastAsia" w:ascii="方正公文仿宋" w:hAnsi="方正公文仿宋" w:eastAsia="方正公文仿宋" w:cs="方正公文仿宋"/>
          <w:sz w:val="28"/>
          <w:szCs w:val="28"/>
        </w:rPr>
        <w:t>统计学、数据处理流程、人工智能基本原理等系统化知识，能够清晰地传授数据分析思维与大模型的技术边界。</w:t>
      </w:r>
      <w:r>
        <w:rPr>
          <w:rFonts w:hint="eastAsia" w:ascii="方正公文仿宋" w:hAnsi="方正公文仿宋" w:eastAsia="方正公文仿宋" w:cs="方正公文仿宋"/>
          <w:sz w:val="28"/>
          <w:szCs w:val="28"/>
          <w:lang w:val="en-US" w:eastAsia="zh-CN"/>
        </w:rPr>
        <w:t>能</w:t>
      </w:r>
      <w:r>
        <w:rPr>
          <w:rFonts w:hint="eastAsia" w:ascii="方正公文仿宋" w:hAnsi="方正公文仿宋" w:eastAsia="方正公文仿宋" w:cs="方正公文仿宋"/>
          <w:sz w:val="28"/>
          <w:szCs w:val="28"/>
        </w:rPr>
        <w:t>熟练掌握提示词工程、多模态数据分析、自然语言处理（NLP）等技术，并能指导学生使用千问、DeepSeek、文心一言等工具进行商业洞察。企业导师精通Python、SQL、Power BI 等传统数据工具，具备数据清洗、建模与可视化的硬核技能</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lang w:val="en-US" w:eastAsia="zh-CN"/>
        </w:rPr>
        <w:t>并</w:t>
      </w:r>
      <w:r>
        <w:rPr>
          <w:rFonts w:hint="eastAsia" w:ascii="方正公文仿宋" w:hAnsi="方正公文仿宋" w:eastAsia="方正公文仿宋" w:cs="方正公文仿宋"/>
          <w:sz w:val="28"/>
          <w:szCs w:val="28"/>
        </w:rPr>
        <w:t>具备将数据分析结果与市场营销、客户管理、产品优化等实际业务相结合的能力，能够指导学生撰写高质量的分析报告并提出合理的商业建议。</w:t>
      </w:r>
    </w:p>
    <w:p w14:paraId="774E9157">
      <w:pPr>
        <w:numPr>
          <w:ilvl w:val="0"/>
          <w:numId w:val="2"/>
        </w:num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课程设置：</w:t>
      </w:r>
    </w:p>
    <w:p w14:paraId="1BEB4778">
      <w:pPr>
        <w:numPr>
          <w:ilvl w:val="0"/>
          <w:numId w:val="0"/>
        </w:num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本微专业设置4门核心课程，即大模型原理及应用与Python数据分析、商业决策与多模态数据分析、AI驱动的市场分析、企业项目实训与数据伦理。课程计划表如表1。</w:t>
      </w:r>
    </w:p>
    <w:p w14:paraId="01DDE692">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表1：大模型与商业洞察微专业课程计划表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17"/>
        <w:gridCol w:w="2106"/>
        <w:gridCol w:w="1031"/>
        <w:gridCol w:w="1215"/>
        <w:gridCol w:w="1507"/>
        <w:gridCol w:w="776"/>
      </w:tblGrid>
      <w:tr w14:paraId="434C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tcPr>
          <w:p w14:paraId="0AF6C316">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课程名称</w:t>
            </w:r>
          </w:p>
        </w:tc>
        <w:tc>
          <w:tcPr>
            <w:tcW w:w="501" w:type="pct"/>
          </w:tcPr>
          <w:p w14:paraId="37A6D2F2">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学分/学时</w:t>
            </w:r>
          </w:p>
        </w:tc>
        <w:tc>
          <w:tcPr>
            <w:tcW w:w="1419" w:type="pct"/>
          </w:tcPr>
          <w:p w14:paraId="15F77159">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核心内容</w:t>
            </w:r>
          </w:p>
        </w:tc>
        <w:tc>
          <w:tcPr>
            <w:tcW w:w="750" w:type="pct"/>
          </w:tcPr>
          <w:p w14:paraId="50C4183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教学方式</w:t>
            </w:r>
          </w:p>
        </w:tc>
        <w:tc>
          <w:tcPr>
            <w:tcW w:w="501" w:type="pct"/>
          </w:tcPr>
          <w:p w14:paraId="0DE2726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考核方式</w:t>
            </w:r>
          </w:p>
        </w:tc>
        <w:tc>
          <w:tcPr>
            <w:tcW w:w="500" w:type="pct"/>
          </w:tcPr>
          <w:p w14:paraId="5CA8AE8F">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开课学期</w:t>
            </w:r>
          </w:p>
        </w:tc>
        <w:tc>
          <w:tcPr>
            <w:tcW w:w="498" w:type="pct"/>
          </w:tcPr>
          <w:p w14:paraId="5C2FBE8B">
            <w:pPr>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任课教师</w:t>
            </w:r>
          </w:p>
        </w:tc>
      </w:tr>
      <w:tr w14:paraId="7A77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top"/>
          </w:tcPr>
          <w:p w14:paraId="5B1A597F">
            <w:pPr>
              <w:pStyle w:val="39"/>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大模型原理</w:t>
            </w:r>
            <w:r>
              <w:rPr>
                <w:rFonts w:hint="eastAsia" w:ascii="方正公文仿宋" w:hAnsi="方正公文仿宋" w:eastAsia="方正公文仿宋" w:cs="方正公文仿宋"/>
                <w:sz w:val="28"/>
                <w:szCs w:val="28"/>
                <w:lang w:val="en-US" w:eastAsia="zh-CN"/>
              </w:rPr>
              <w:t>及</w:t>
            </w:r>
            <w:r>
              <w:rPr>
                <w:rFonts w:hint="eastAsia" w:ascii="方正公文仿宋" w:hAnsi="方正公文仿宋" w:eastAsia="方正公文仿宋" w:cs="方正公文仿宋"/>
                <w:sz w:val="28"/>
                <w:szCs w:val="28"/>
              </w:rPr>
              <w:t>应用</w:t>
            </w:r>
            <w:r>
              <w:rPr>
                <w:rFonts w:hint="eastAsia" w:ascii="方正公文仿宋" w:hAnsi="方正公文仿宋" w:eastAsia="方正公文仿宋" w:cs="方正公文仿宋"/>
                <w:sz w:val="28"/>
                <w:szCs w:val="28"/>
                <w:lang w:val="en-US" w:eastAsia="zh-CN"/>
              </w:rPr>
              <w:t>与</w:t>
            </w:r>
            <w:r>
              <w:rPr>
                <w:rFonts w:hint="eastAsia" w:ascii="方正公文仿宋" w:hAnsi="方正公文仿宋" w:eastAsia="方正公文仿宋" w:cs="方正公文仿宋"/>
                <w:sz w:val="28"/>
                <w:szCs w:val="28"/>
              </w:rPr>
              <w:t>Python数据分析</w:t>
            </w:r>
          </w:p>
        </w:tc>
        <w:tc>
          <w:tcPr>
            <w:tcW w:w="501" w:type="pct"/>
          </w:tcPr>
          <w:p w14:paraId="1CE832B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19" w:type="pct"/>
          </w:tcPr>
          <w:p w14:paraId="12EE0DDE">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val="en-US" w:eastAsia="zh-CN"/>
              </w:rPr>
              <w:t>课程</w:t>
            </w:r>
            <w:r>
              <w:rPr>
                <w:rFonts w:hint="eastAsia" w:ascii="方正公文仿宋" w:hAnsi="方正公文仿宋" w:eastAsia="方正公文仿宋" w:cs="方正公文仿宋"/>
                <w:sz w:val="28"/>
                <w:szCs w:val="28"/>
              </w:rPr>
              <w:t>将大语言模型与Python结合，讲授大模型原理、提示词工程、API集成，实现自动报告生成、情感分析等智能数据分析任务。</w:t>
            </w:r>
          </w:p>
        </w:tc>
        <w:tc>
          <w:tcPr>
            <w:tcW w:w="750" w:type="pct"/>
          </w:tcPr>
          <w:p w14:paraId="5196B565">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理论讲授、案例分析、实训任务、企业实习</w:t>
            </w:r>
          </w:p>
        </w:tc>
        <w:tc>
          <w:tcPr>
            <w:tcW w:w="501" w:type="pct"/>
          </w:tcPr>
          <w:p w14:paraId="1DB9C2E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平时参与（20%）+实训任务一（40%）+实训任务二（40%）</w:t>
            </w:r>
          </w:p>
        </w:tc>
        <w:tc>
          <w:tcPr>
            <w:tcW w:w="500" w:type="pct"/>
          </w:tcPr>
          <w:p w14:paraId="41494BE2">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498" w:type="pct"/>
          </w:tcPr>
          <w:p w14:paraId="4192832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lang w:val="en-US" w:eastAsia="zh-CN"/>
              </w:rPr>
              <w:t>唐晓东</w:t>
            </w:r>
            <w:r>
              <w:rPr>
                <w:rFonts w:hint="eastAsia" w:ascii="方正公文仿宋" w:hAnsi="方正公文仿宋" w:eastAsia="方正公文仿宋" w:cs="方正公文仿宋"/>
                <w:sz w:val="28"/>
                <w:szCs w:val="28"/>
              </w:rPr>
              <w:t>、姚若辉</w:t>
            </w:r>
          </w:p>
        </w:tc>
      </w:tr>
      <w:tr w14:paraId="4AB3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top"/>
          </w:tcPr>
          <w:p w14:paraId="61DD8CC8">
            <w:pPr>
              <w:pStyle w:val="39"/>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商业决策</w:t>
            </w:r>
            <w:r>
              <w:rPr>
                <w:rFonts w:hint="eastAsia" w:ascii="方正公文仿宋" w:hAnsi="方正公文仿宋" w:eastAsia="方正公文仿宋" w:cs="方正公文仿宋"/>
                <w:sz w:val="28"/>
                <w:szCs w:val="28"/>
                <w:lang w:val="en-US" w:eastAsia="zh-CN"/>
              </w:rPr>
              <w:t>与</w:t>
            </w:r>
            <w:r>
              <w:rPr>
                <w:rFonts w:hint="eastAsia" w:ascii="方正公文仿宋" w:hAnsi="方正公文仿宋" w:eastAsia="方正公文仿宋" w:cs="方正公文仿宋"/>
                <w:sz w:val="28"/>
                <w:szCs w:val="28"/>
              </w:rPr>
              <w:t>多模态数据分析</w:t>
            </w:r>
          </w:p>
        </w:tc>
        <w:tc>
          <w:tcPr>
            <w:tcW w:w="501" w:type="pct"/>
          </w:tcPr>
          <w:p w14:paraId="0B6EBDE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19" w:type="pct"/>
          </w:tcPr>
          <w:p w14:paraId="3279352B">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聚焦文本、图像、视频等多模态数据融合，运用大模型实现跨模态推理，服务于用户兴趣挖掘、顾客动线分析等商业决策。</w:t>
            </w:r>
          </w:p>
        </w:tc>
        <w:tc>
          <w:tcPr>
            <w:tcW w:w="750" w:type="pct"/>
          </w:tcPr>
          <w:p w14:paraId="6EF9871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理论讲授、案例分析、实训任务、企业专题讲座或参观</w:t>
            </w:r>
          </w:p>
        </w:tc>
        <w:tc>
          <w:tcPr>
            <w:tcW w:w="501" w:type="pct"/>
          </w:tcPr>
          <w:p w14:paraId="75BF65D9">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平时参与（20%）+实训任务一（40%）+实训任务二（40%）</w:t>
            </w:r>
          </w:p>
        </w:tc>
        <w:tc>
          <w:tcPr>
            <w:tcW w:w="500" w:type="pct"/>
          </w:tcPr>
          <w:p w14:paraId="3F644BB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2026-2027学年第一学期</w:t>
            </w:r>
          </w:p>
        </w:tc>
        <w:tc>
          <w:tcPr>
            <w:tcW w:w="498" w:type="pct"/>
          </w:tcPr>
          <w:p w14:paraId="0739F3C6">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何杨平、姚若辉</w:t>
            </w:r>
          </w:p>
        </w:tc>
      </w:tr>
      <w:tr w14:paraId="393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top"/>
          </w:tcPr>
          <w:p w14:paraId="569A5B1F">
            <w:pPr>
              <w:pStyle w:val="39"/>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AI驱动的市场分析</w:t>
            </w:r>
          </w:p>
        </w:tc>
        <w:tc>
          <w:tcPr>
            <w:tcW w:w="501" w:type="pct"/>
          </w:tcPr>
          <w:p w14:paraId="7AA6961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19" w:type="pct"/>
          </w:tcPr>
          <w:p w14:paraId="63D9DF47">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课程利用大模型重构市场研究，涵盖竞品情报采集、消费者需求预测、趋势识别与个性化营销内容生成，提升市场研判效率。</w:t>
            </w:r>
          </w:p>
        </w:tc>
        <w:tc>
          <w:tcPr>
            <w:tcW w:w="750" w:type="pct"/>
          </w:tcPr>
          <w:p w14:paraId="385793AA">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理论讲授、案例分析、实训任务、企业专题讲座或参观</w:t>
            </w:r>
          </w:p>
        </w:tc>
        <w:tc>
          <w:tcPr>
            <w:tcW w:w="501" w:type="pct"/>
          </w:tcPr>
          <w:p w14:paraId="12C8B7A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平时参与（20%）+实训任务一（40%）+实训任务二（40%）</w:t>
            </w:r>
          </w:p>
        </w:tc>
        <w:tc>
          <w:tcPr>
            <w:tcW w:w="500" w:type="pct"/>
          </w:tcPr>
          <w:p w14:paraId="21635140">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2026-2027学年第二学期</w:t>
            </w:r>
          </w:p>
        </w:tc>
        <w:tc>
          <w:tcPr>
            <w:tcW w:w="498" w:type="pct"/>
          </w:tcPr>
          <w:p w14:paraId="6249B111">
            <w:pPr>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rPr>
              <w:t>宗乾进、</w:t>
            </w:r>
            <w:r>
              <w:rPr>
                <w:rFonts w:hint="eastAsia" w:ascii="方正公文仿宋" w:hAnsi="方正公文仿宋" w:eastAsia="方正公文仿宋" w:cs="方正公文仿宋"/>
                <w:sz w:val="28"/>
                <w:szCs w:val="28"/>
                <w:lang w:val="en-US" w:eastAsia="zh-CN"/>
              </w:rPr>
              <w:t>何晓兵</w:t>
            </w:r>
          </w:p>
        </w:tc>
      </w:tr>
      <w:tr w14:paraId="3419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vAlign w:val="top"/>
          </w:tcPr>
          <w:p w14:paraId="2F9EE245">
            <w:pPr>
              <w:pStyle w:val="39"/>
              <w:jc w:val="left"/>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企业项目实训</w:t>
            </w:r>
            <w:r>
              <w:rPr>
                <w:rFonts w:hint="eastAsia" w:ascii="方正公文仿宋" w:hAnsi="方正公文仿宋" w:eastAsia="方正公文仿宋" w:cs="方正公文仿宋"/>
                <w:sz w:val="28"/>
                <w:szCs w:val="28"/>
                <w:lang w:val="en-US" w:eastAsia="zh-CN"/>
              </w:rPr>
              <w:t>与</w:t>
            </w:r>
            <w:r>
              <w:rPr>
                <w:rFonts w:hint="eastAsia" w:ascii="方正公文仿宋" w:hAnsi="方正公文仿宋" w:eastAsia="方正公文仿宋" w:cs="方正公文仿宋"/>
                <w:sz w:val="28"/>
                <w:szCs w:val="28"/>
              </w:rPr>
              <w:t>数据伦理</w:t>
            </w:r>
          </w:p>
        </w:tc>
        <w:tc>
          <w:tcPr>
            <w:tcW w:w="501" w:type="pct"/>
          </w:tcPr>
          <w:p w14:paraId="7D5B30AD">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2/32</w:t>
            </w:r>
          </w:p>
        </w:tc>
        <w:tc>
          <w:tcPr>
            <w:tcW w:w="1419" w:type="pct"/>
          </w:tcPr>
          <w:p w14:paraId="2E676538">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课程通过真实企业项目全流程实战，强化数据分析能力，并融入数据隐私保护、模型可解释性、AI风险防范等伦理合规内容。</w:t>
            </w:r>
          </w:p>
        </w:tc>
        <w:tc>
          <w:tcPr>
            <w:tcW w:w="750" w:type="pct"/>
          </w:tcPr>
          <w:p w14:paraId="4FA2DF4C">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理论讲授、案例分析、实训任务、企业参观或实习</w:t>
            </w:r>
          </w:p>
        </w:tc>
        <w:tc>
          <w:tcPr>
            <w:tcW w:w="501" w:type="pct"/>
          </w:tcPr>
          <w:p w14:paraId="365D4B2A">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平时参与（20%）+实训任务一（40%）+实训任务二（40%）</w:t>
            </w:r>
          </w:p>
        </w:tc>
        <w:tc>
          <w:tcPr>
            <w:tcW w:w="500" w:type="pct"/>
          </w:tcPr>
          <w:p w14:paraId="0866DA7F">
            <w:pPr>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2026-2027学年第二学期</w:t>
            </w:r>
          </w:p>
        </w:tc>
        <w:tc>
          <w:tcPr>
            <w:tcW w:w="498" w:type="pct"/>
          </w:tcPr>
          <w:p w14:paraId="099BBF38">
            <w:pPr>
              <w:rPr>
                <w:rFonts w:hint="eastAsia" w:ascii="方正公文仿宋" w:hAnsi="方正公文仿宋" w:eastAsia="方正公文仿宋" w:cs="方正公文仿宋"/>
                <w:sz w:val="28"/>
                <w:szCs w:val="28"/>
                <w:lang w:eastAsia="zh-CN"/>
              </w:rPr>
            </w:pPr>
            <w:r>
              <w:rPr>
                <w:rFonts w:hint="eastAsia" w:ascii="方正公文仿宋" w:hAnsi="方正公文仿宋" w:eastAsia="方正公文仿宋" w:cs="方正公文仿宋"/>
                <w:sz w:val="28"/>
                <w:szCs w:val="28"/>
              </w:rPr>
              <w:t>李志义</w:t>
            </w:r>
            <w:r>
              <w:rPr>
                <w:rFonts w:hint="eastAsia" w:ascii="方正公文仿宋" w:hAnsi="方正公文仿宋" w:eastAsia="方正公文仿宋" w:cs="方正公文仿宋"/>
                <w:sz w:val="28"/>
                <w:szCs w:val="28"/>
                <w:lang w:eastAsia="zh-CN"/>
              </w:rPr>
              <w:t>、</w:t>
            </w:r>
            <w:r>
              <w:rPr>
                <w:rFonts w:hint="eastAsia" w:ascii="方正公文仿宋" w:hAnsi="方正公文仿宋" w:eastAsia="方正公文仿宋" w:cs="方正公文仿宋"/>
                <w:sz w:val="28"/>
                <w:szCs w:val="28"/>
              </w:rPr>
              <w:t>王雅丽</w:t>
            </w:r>
          </w:p>
        </w:tc>
      </w:tr>
    </w:tbl>
    <w:p w14:paraId="03EF3803">
      <w:pPr>
        <w:spacing w:line="360" w:lineRule="auto"/>
        <w:rPr>
          <w:rFonts w:hint="eastAsia" w:ascii="方正公文仿宋" w:hAnsi="方正公文仿宋" w:eastAsia="方正公文仿宋" w:cs="方正公文仿宋"/>
          <w:sz w:val="28"/>
          <w:szCs w:val="28"/>
        </w:rPr>
      </w:pPr>
    </w:p>
    <w:p w14:paraId="31F49F9C">
      <w:pPr>
        <w:numPr>
          <w:ilvl w:val="0"/>
          <w:numId w:val="2"/>
        </w:numPr>
        <w:spacing w:line="360" w:lineRule="auto"/>
        <w:ind w:left="0" w:leftChars="0" w:firstLine="0" w:firstLineChars="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招生对象与报名要求：</w:t>
      </w:r>
    </w:p>
    <w:p w14:paraId="2C218815">
      <w:pPr>
        <w:numPr>
          <w:ilvl w:val="0"/>
          <w:numId w:val="0"/>
        </w:numPr>
        <w:spacing w:line="360" w:lineRule="auto"/>
        <w:ind w:leftChars="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 xml:space="preserve">本校2023级、2024级、2025级全日制本科生，专业不限。 </w:t>
      </w:r>
    </w:p>
    <w:p w14:paraId="4A69F3AA">
      <w:pPr>
        <w:numPr>
          <w:ilvl w:val="0"/>
          <w:numId w:val="2"/>
        </w:numPr>
        <w:spacing w:line="360" w:lineRule="auto"/>
        <w:ind w:left="0" w:leftChars="0" w:firstLine="0" w:firstLineChars="0"/>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报名方式与报名时间：</w:t>
      </w:r>
    </w:p>
    <w:p w14:paraId="1D6E5E08">
      <w:pPr>
        <w:numPr>
          <w:ilvl w:val="0"/>
          <w:numId w:val="0"/>
        </w:numPr>
        <w:spacing w:line="360" w:lineRule="auto"/>
        <w:ind w:leftChars="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详情见学校《关于2026年微专业修读项目宣传及学生遴选工作的通知》。</w:t>
      </w:r>
    </w:p>
    <w:p w14:paraId="59151519">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7.宣讲互动方式、时间、地点：</w:t>
      </w:r>
    </w:p>
    <w:p w14:paraId="2E1A0890">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具体安排请留意后续通知。</w:t>
      </w:r>
    </w:p>
    <w:p w14:paraId="48076E5D">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8.遴选方式、时间、地点：</w:t>
      </w:r>
    </w:p>
    <w:p w14:paraId="37C743DF">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遴选方式采用“材料审核+综合评分”方式。学生提交报名表、已有成绩单、简历（包括申请本微专业的动机和未来规划），教学团队对学生提交的材料进行审核和综合评分，择优录取。</w:t>
      </w:r>
    </w:p>
    <w:p w14:paraId="11AE7A61">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 xml:space="preserve">9.教学安排： </w:t>
      </w:r>
    </w:p>
    <w:p w14:paraId="72838764">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2026-2027学年，周末集中上课，每门课安排4天，</w:t>
      </w:r>
      <w:r>
        <w:rPr>
          <w:rFonts w:hint="eastAsia" w:ascii="方正公文仿宋" w:hAnsi="方正公文仿宋" w:eastAsia="方正公文仿宋" w:cs="方正公文仿宋"/>
          <w:sz w:val="28"/>
          <w:szCs w:val="28"/>
          <w:lang w:val="en-US" w:eastAsia="zh-CN"/>
        </w:rPr>
        <w:t>线下或</w:t>
      </w:r>
      <w:r>
        <w:rPr>
          <w:rFonts w:hint="eastAsia" w:ascii="方正公文仿宋" w:hAnsi="方正公文仿宋" w:eastAsia="方正公文仿宋" w:cs="方正公文仿宋"/>
          <w:sz w:val="28"/>
          <w:szCs w:val="28"/>
        </w:rPr>
        <w:t>线上授课，线下企业参观或实习。</w:t>
      </w:r>
    </w:p>
    <w:p w14:paraId="71DF8E84">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 xml:space="preserve">10.结业要求： </w:t>
      </w:r>
    </w:p>
    <w:p w14:paraId="3AEE0F2C">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学制1年，总学分8学分。在本微专业修满全部学分，经过经济与管理学院审核，并报本科生院审定后，可获得由本科生院和经济与管理学院统一颁发的微专业证书（证书不具备学位证书效力）。</w:t>
      </w:r>
    </w:p>
    <w:p w14:paraId="21F97F39">
      <w:pPr>
        <w:spacing w:line="360" w:lineRule="auto"/>
        <w:rPr>
          <w:rFonts w:hint="eastAsia" w:ascii="方正公文仿宋" w:hAnsi="方正公文仿宋" w:eastAsia="方正公文仿宋" w:cs="方正公文仿宋"/>
          <w:b/>
          <w:bCs/>
          <w:sz w:val="28"/>
          <w:szCs w:val="28"/>
        </w:rPr>
      </w:pPr>
      <w:r>
        <w:rPr>
          <w:rFonts w:hint="eastAsia" w:ascii="方正公文仿宋" w:hAnsi="方正公文仿宋" w:eastAsia="方正公文仿宋" w:cs="方正公文仿宋"/>
          <w:b/>
          <w:bCs/>
          <w:sz w:val="28"/>
          <w:szCs w:val="28"/>
        </w:rPr>
        <w:t>11.管理措施和要求：</w:t>
      </w:r>
    </w:p>
    <w:p w14:paraId="59C8F0F6">
      <w:pPr>
        <w:spacing w:line="360" w:lineRule="auto"/>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修读本微专业的学生需按规定报名遴选。课程安排在周末，按培养方案修读，严格考勤与过程考核，遵守课堂与考核纪律。成绩合格方可</w:t>
      </w:r>
      <w:bookmarkStart w:id="0" w:name="_GoBack"/>
      <w:bookmarkEnd w:id="0"/>
      <w:r>
        <w:rPr>
          <w:rFonts w:hint="eastAsia" w:ascii="方正公文仿宋" w:hAnsi="方正公文仿宋" w:eastAsia="方正公文仿宋" w:cs="方正公文仿宋"/>
          <w:sz w:val="28"/>
          <w:szCs w:val="28"/>
        </w:rPr>
        <w:t>取得学分。满足修读年限、修满规定学分并通过结业审核，方能获得本微专业结业证书。</w:t>
      </w:r>
    </w:p>
    <w:p w14:paraId="6D14349E">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116F5CDF">
      <w:pPr>
        <w:spacing w:line="360" w:lineRule="auto"/>
        <w:rPr>
          <w:rFonts w:hint="eastAsia" w:ascii="方正公文仿宋" w:hAnsi="方正公文仿宋" w:eastAsia="方正公文仿宋" w:cs="方正公文仿宋"/>
          <w:sz w:val="28"/>
          <w:szCs w:val="28"/>
          <w:lang w:val="en-US" w:eastAsia="zh-CN"/>
        </w:rPr>
      </w:pPr>
    </w:p>
    <w:p w14:paraId="13973916">
      <w:pPr>
        <w:spacing w:line="360" w:lineRule="auto"/>
        <w:rPr>
          <w:rFonts w:hint="eastAsia" w:ascii="方正公文仿宋" w:hAnsi="方正公文仿宋" w:eastAsia="方正公文仿宋" w:cs="方正公文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ED46FA63-9188-4C79-89F1-EC8C2D36AA8C}"/>
  </w:font>
  <w:font w:name="方正公文仿宋">
    <w:panose1 w:val="02000500000000000000"/>
    <w:charset w:val="86"/>
    <w:family w:val="auto"/>
    <w:pitch w:val="default"/>
    <w:sig w:usb0="A00002BF" w:usb1="38CF7CFA" w:usb2="00000016" w:usb3="00000000" w:csb0="00040001" w:csb1="00000000"/>
    <w:embedRegular r:id="rId2" w:fontKey="{F9F688D7-1A02-469B-A9F5-B8DA3A968C4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9A3D2"/>
    <w:multiLevelType w:val="singleLevel"/>
    <w:tmpl w:val="F9B9A3D2"/>
    <w:lvl w:ilvl="0" w:tentative="0">
      <w:start w:val="4"/>
      <w:numFmt w:val="decimal"/>
      <w:lvlText w:val="%1."/>
      <w:lvlJc w:val="left"/>
      <w:pPr>
        <w:tabs>
          <w:tab w:val="left" w:pos="312"/>
        </w:tabs>
      </w:pPr>
    </w:lvl>
  </w:abstractNum>
  <w:abstractNum w:abstractNumId="1">
    <w:nsid w:val="FFDC404F"/>
    <w:multiLevelType w:val="singleLevel"/>
    <w:tmpl w:val="FFDC404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3F"/>
    <w:rsid w:val="00015215"/>
    <w:rsid w:val="00050A5D"/>
    <w:rsid w:val="0008533B"/>
    <w:rsid w:val="00095E94"/>
    <w:rsid w:val="000A273C"/>
    <w:rsid w:val="000D14A7"/>
    <w:rsid w:val="000D52BE"/>
    <w:rsid w:val="000F3D57"/>
    <w:rsid w:val="00112BF0"/>
    <w:rsid w:val="00132B9E"/>
    <w:rsid w:val="00134A02"/>
    <w:rsid w:val="001B2994"/>
    <w:rsid w:val="001F30BB"/>
    <w:rsid w:val="00206E20"/>
    <w:rsid w:val="00207591"/>
    <w:rsid w:val="00210DC6"/>
    <w:rsid w:val="002776B8"/>
    <w:rsid w:val="002C4D21"/>
    <w:rsid w:val="00336D1B"/>
    <w:rsid w:val="00340635"/>
    <w:rsid w:val="003524C5"/>
    <w:rsid w:val="003A4746"/>
    <w:rsid w:val="003C1E89"/>
    <w:rsid w:val="003E7DC1"/>
    <w:rsid w:val="003F14DF"/>
    <w:rsid w:val="00434C54"/>
    <w:rsid w:val="00475091"/>
    <w:rsid w:val="004A760F"/>
    <w:rsid w:val="004B0694"/>
    <w:rsid w:val="004D5674"/>
    <w:rsid w:val="004F5E27"/>
    <w:rsid w:val="00502F3A"/>
    <w:rsid w:val="0051453F"/>
    <w:rsid w:val="0057739C"/>
    <w:rsid w:val="0058607D"/>
    <w:rsid w:val="00590045"/>
    <w:rsid w:val="00592790"/>
    <w:rsid w:val="00596F44"/>
    <w:rsid w:val="005A6482"/>
    <w:rsid w:val="005A78DA"/>
    <w:rsid w:val="005B35F7"/>
    <w:rsid w:val="005E6E22"/>
    <w:rsid w:val="00646AB2"/>
    <w:rsid w:val="006643D2"/>
    <w:rsid w:val="0068035B"/>
    <w:rsid w:val="0069332A"/>
    <w:rsid w:val="006A5663"/>
    <w:rsid w:val="006E7E53"/>
    <w:rsid w:val="0070027D"/>
    <w:rsid w:val="0077751F"/>
    <w:rsid w:val="007C7741"/>
    <w:rsid w:val="00814B89"/>
    <w:rsid w:val="00823168"/>
    <w:rsid w:val="008346A7"/>
    <w:rsid w:val="008364A8"/>
    <w:rsid w:val="008569BB"/>
    <w:rsid w:val="0088037D"/>
    <w:rsid w:val="008822D8"/>
    <w:rsid w:val="00893536"/>
    <w:rsid w:val="008A1D07"/>
    <w:rsid w:val="008D0FE9"/>
    <w:rsid w:val="0092277F"/>
    <w:rsid w:val="009727FA"/>
    <w:rsid w:val="009D4653"/>
    <w:rsid w:val="009F7531"/>
    <w:rsid w:val="00A16212"/>
    <w:rsid w:val="00A55DA3"/>
    <w:rsid w:val="00A756DC"/>
    <w:rsid w:val="00A842D3"/>
    <w:rsid w:val="00AA7B04"/>
    <w:rsid w:val="00AB54B6"/>
    <w:rsid w:val="00AB7FD2"/>
    <w:rsid w:val="00AC3C6B"/>
    <w:rsid w:val="00AE0F8A"/>
    <w:rsid w:val="00AE6942"/>
    <w:rsid w:val="00AE71D4"/>
    <w:rsid w:val="00B14CBB"/>
    <w:rsid w:val="00B34998"/>
    <w:rsid w:val="00B75734"/>
    <w:rsid w:val="00BA1EE8"/>
    <w:rsid w:val="00BA3BE5"/>
    <w:rsid w:val="00BB049D"/>
    <w:rsid w:val="00C15DBD"/>
    <w:rsid w:val="00C61430"/>
    <w:rsid w:val="00C83971"/>
    <w:rsid w:val="00CD0701"/>
    <w:rsid w:val="00CF3916"/>
    <w:rsid w:val="00D21F63"/>
    <w:rsid w:val="00D24641"/>
    <w:rsid w:val="00D325AE"/>
    <w:rsid w:val="00D614C4"/>
    <w:rsid w:val="00D711B8"/>
    <w:rsid w:val="00D8628B"/>
    <w:rsid w:val="00DC37CA"/>
    <w:rsid w:val="00DD2E2E"/>
    <w:rsid w:val="00E543AC"/>
    <w:rsid w:val="00E60408"/>
    <w:rsid w:val="00E73211"/>
    <w:rsid w:val="00E86B15"/>
    <w:rsid w:val="00E91466"/>
    <w:rsid w:val="00E91A69"/>
    <w:rsid w:val="00EC648B"/>
    <w:rsid w:val="00EE0A0A"/>
    <w:rsid w:val="00F427B4"/>
    <w:rsid w:val="00F61473"/>
    <w:rsid w:val="00F81460"/>
    <w:rsid w:val="00F94F6D"/>
    <w:rsid w:val="00FA5370"/>
    <w:rsid w:val="00FC0287"/>
    <w:rsid w:val="00FC090C"/>
    <w:rsid w:val="00FC47FF"/>
    <w:rsid w:val="00FC4C17"/>
    <w:rsid w:val="012429CC"/>
    <w:rsid w:val="07EC490D"/>
    <w:rsid w:val="0CF86466"/>
    <w:rsid w:val="175F6BB0"/>
    <w:rsid w:val="32C702A9"/>
    <w:rsid w:val="3F1D75B8"/>
    <w:rsid w:val="63CE4319"/>
    <w:rsid w:val="67F7F3CA"/>
    <w:rsid w:val="769F10E4"/>
    <w:rsid w:val="773CA61E"/>
    <w:rsid w:val="77725A59"/>
    <w:rsid w:val="77DD2142"/>
    <w:rsid w:val="B77F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before="180" w:after="180"/>
    </w:pPr>
    <w:rPr>
      <w:color w:val="000000" w:themeColor="text1"/>
      <w14:textFill>
        <w14:solidFill>
          <w14:schemeClr w14:val="tx1"/>
        </w14:solidFill>
      </w14:textFill>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paragraph" w:customStyle="1" w:styleId="39">
    <w:name w:val="Compact"/>
    <w:basedOn w:val="11"/>
    <w:qFormat/>
    <w:uiPriority w:val="0"/>
    <w:pPr>
      <w:spacing w:before="36" w:after="36"/>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2027</Words>
  <Characters>2218</Characters>
  <Lines>13</Lines>
  <Paragraphs>3</Paragraphs>
  <TotalTime>0</TotalTime>
  <ScaleCrop>false</ScaleCrop>
  <LinksUpToDate>false</LinksUpToDate>
  <CharactersWithSpaces>2242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2026-03-16T11:32:00Z</dcterms:created>
  <dc:creator>sherry</dc:creator>
  <cp:lastModifiedBy>Smile</cp:lastModifiedBy>
  <dcterms:modified xsi:type="dcterms:W3CDTF">2026-03-18T07:03:39Z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E485712392854416B44A8ED037758032_13</vt:lpwstr>
  </property>
  <property fmtid="{D5CDD505-2E9C-101B-9397-08002B2CF9AE}" pid="4" name="KSOTemplateDocerSaveRecord">
    <vt:lpwstr>eyJoZGlkIjoiZGYwOWJlNTY0ZjMwYjcyMmUwNzA2ODU0ZTFhMTk2YzMiLCJ1c2VySWQiOiI1MTIxODgyMzYifQ==</vt:lpwstr>
  </property>
</Properties>
</file>