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C24B1">
      <w:pPr>
        <w:widowControl/>
        <w:jc w:val="center"/>
        <w:rPr>
          <w:rFonts w:hint="eastAsia" w:ascii="方正小标宋_GBK" w:hAnsi="方正小标宋_GBK" w:eastAsia="方正小标宋_GBK" w:cs="方正小标宋_GBK"/>
          <w:color w:val="000000"/>
          <w:kern w:val="0"/>
          <w:sz w:val="36"/>
          <w:szCs w:val="36"/>
          <w:lang w:bidi="ar"/>
        </w:rPr>
      </w:pPr>
      <w:r>
        <w:rPr>
          <w:rFonts w:hint="eastAsia" w:ascii="方正小标宋_GBK" w:hAnsi="方正小标宋_GBK" w:eastAsia="方正小标宋_GBK" w:cs="方正小标宋_GBK"/>
          <w:b/>
          <w:sz w:val="36"/>
          <w:szCs w:val="36"/>
          <w:lang w:val="en-US" w:eastAsia="zh-CN"/>
        </w:rPr>
        <w:t>2026年</w:t>
      </w:r>
      <w:r>
        <w:rPr>
          <w:rFonts w:hint="eastAsia" w:ascii="方正小标宋_GBK" w:hAnsi="方正小标宋_GBK" w:eastAsia="方正小标宋_GBK" w:cs="方正小标宋_GBK"/>
          <w:b/>
          <w:sz w:val="36"/>
          <w:szCs w:val="36"/>
        </w:rPr>
        <w:t>数据资源与数据智能微专业项目遴选说明</w:t>
      </w:r>
    </w:p>
    <w:p w14:paraId="7340C2E6">
      <w:pPr>
        <w:rPr>
          <w:rFonts w:hint="eastAsia" w:ascii="宋体" w:hAnsi="宋体" w:eastAsia="宋体" w:cs="宋体"/>
          <w:sz w:val="24"/>
        </w:rPr>
      </w:pPr>
    </w:p>
    <w:p w14:paraId="48209B5A">
      <w:pPr>
        <w:widowControl/>
        <w:numPr>
          <w:ilvl w:val="0"/>
          <w:numId w:val="0"/>
        </w:numPr>
        <w:spacing w:line="360" w:lineRule="auto"/>
        <w:rPr>
          <w:rFonts w:hint="eastAsia" w:ascii="方正公文仿宋" w:hAnsi="方正公文仿宋" w:eastAsia="方正公文仿宋" w:cs="方正公文仿宋"/>
          <w:b/>
          <w:bCs/>
          <w:color w:val="000000"/>
          <w:kern w:val="0"/>
          <w:sz w:val="28"/>
          <w:szCs w:val="28"/>
          <w:lang w:bidi="ar"/>
        </w:rPr>
      </w:pPr>
      <w:r>
        <w:rPr>
          <w:rFonts w:hint="eastAsia" w:ascii="方正公文仿宋" w:hAnsi="方正公文仿宋" w:eastAsia="方正公文仿宋" w:cs="方正公文仿宋"/>
          <w:b/>
          <w:bCs/>
          <w:color w:val="000000"/>
          <w:kern w:val="0"/>
          <w:sz w:val="28"/>
          <w:szCs w:val="28"/>
          <w:lang w:val="en-US" w:eastAsia="zh-CN" w:bidi="ar"/>
        </w:rPr>
        <w:t>1.</w:t>
      </w:r>
      <w:r>
        <w:rPr>
          <w:rFonts w:hint="eastAsia" w:ascii="方正公文仿宋" w:hAnsi="方正公文仿宋" w:eastAsia="方正公文仿宋" w:cs="方正公文仿宋"/>
          <w:b/>
          <w:bCs/>
          <w:color w:val="000000"/>
          <w:kern w:val="0"/>
          <w:sz w:val="28"/>
          <w:szCs w:val="28"/>
          <w:lang w:bidi="ar"/>
        </w:rPr>
        <w:t>专业简介</w:t>
      </w:r>
    </w:p>
    <w:p w14:paraId="4CA94AAB">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数据资源与数据智能专业立足数字经济发展浪潮，培养具有数据分析与智能决策能力的复合型创新人才。通过系统教学，让学生掌握数据挖掘、大数据分析、数据治理及智能决策的核心能力，实现从数据处理到数据决策的能力跃升，成为能解决多行业数据分析与决策难题的专业人才。该专业不仅传授技术工具，更着重塑造数据思维与决策智能，使学生成长为既懂技术又通业务的复合型人才，能够精准解读业务需求，从复杂数据中提炼关键信息，并为决策者提供科学、可量化的智能解决方案。该专业从数据挖掘、大数据处理与治理的基础理念出发，奠定坚实的数据基础，提高运用可视化与分析工具的能力，培养一批兼具数据分析能力、商业头脑与战略视野的优秀学子。</w:t>
      </w:r>
    </w:p>
    <w:p w14:paraId="0ADE5F28">
      <w:pPr>
        <w:widowControl/>
        <w:numPr>
          <w:ilvl w:val="0"/>
          <w:numId w:val="0"/>
        </w:numPr>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2.</w:t>
      </w:r>
      <w:r>
        <w:rPr>
          <w:rFonts w:hint="eastAsia" w:ascii="方正公文仿宋" w:hAnsi="方正公文仿宋" w:eastAsia="方正公文仿宋" w:cs="方正公文仿宋"/>
          <w:b/>
          <w:bCs/>
          <w:color w:val="000000"/>
          <w:kern w:val="0"/>
          <w:sz w:val="28"/>
          <w:szCs w:val="28"/>
          <w:lang w:bidi="ar"/>
        </w:rPr>
        <w:t>培养特色</w:t>
      </w:r>
      <w:r>
        <w:rPr>
          <w:rFonts w:hint="eastAsia" w:ascii="方正公文仿宋" w:hAnsi="方正公文仿宋" w:eastAsia="方正公文仿宋" w:cs="方正公文仿宋"/>
          <w:b/>
          <w:bCs/>
          <w:color w:val="000000"/>
          <w:kern w:val="0"/>
          <w:sz w:val="28"/>
          <w:szCs w:val="28"/>
          <w:lang w:eastAsia="zh-CN" w:bidi="ar"/>
        </w:rPr>
        <w:t>：</w:t>
      </w:r>
    </w:p>
    <w:p w14:paraId="533CF925">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1、多维立体培养：深度整合理论教学、工具实操、案例解析与实战应用，构建“理论-工具-技能-实战”全链条培养体系，覆盖数据处理、洞察呈现到决策支撑的完整流程，强化知识向能力的转化。</w:t>
      </w:r>
    </w:p>
    <w:p w14:paraId="50B8367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学科交叉融合：打破单一学科壁垒，融合管理学、统计学、计算机科学等多专业知识。课程设计中兼顾数据技术深度与战略决策广度，培养学生“数据技术+业务认知+决策思维”的复合素养，适配数字化时代对跨界人才的需求。</w:t>
      </w:r>
    </w:p>
    <w:p w14:paraId="705B4E6B">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3、证书权威赋能：修满学分并结业合格者，可获得华南师范大学颁发的微专业证书。证书精准对标数据挖掘、决策支持等核心技能，作为专业能力的权威背书，有效提升学生在就业市场及职业晋升中的竞争力。</w:t>
      </w:r>
    </w:p>
    <w:p w14:paraId="76D6C3BF">
      <w:pPr>
        <w:rPr>
          <w:rFonts w:hint="eastAsia" w:ascii="方正公文仿宋" w:hAnsi="方正公文仿宋" w:eastAsia="方正公文仿宋" w:cs="方正公文仿宋"/>
          <w:sz w:val="28"/>
          <w:szCs w:val="28"/>
        </w:rPr>
      </w:pPr>
    </w:p>
    <w:p w14:paraId="3A2EE6A2">
      <w:pPr>
        <w:widowControl/>
        <w:numPr>
          <w:ilvl w:val="0"/>
          <w:numId w:val="0"/>
        </w:numPr>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3.</w:t>
      </w:r>
      <w:r>
        <w:rPr>
          <w:rFonts w:hint="eastAsia" w:ascii="方正公文仿宋" w:hAnsi="方正公文仿宋" w:eastAsia="方正公文仿宋" w:cs="方正公文仿宋"/>
          <w:b/>
          <w:bCs/>
          <w:color w:val="000000"/>
          <w:kern w:val="0"/>
          <w:sz w:val="28"/>
          <w:szCs w:val="28"/>
          <w:lang w:bidi="ar"/>
        </w:rPr>
        <w:t>师资力量</w:t>
      </w:r>
      <w:r>
        <w:rPr>
          <w:rFonts w:hint="eastAsia" w:ascii="方正公文仿宋" w:hAnsi="方正公文仿宋" w:eastAsia="方正公文仿宋" w:cs="方正公文仿宋"/>
          <w:b/>
          <w:bCs/>
          <w:color w:val="000000"/>
          <w:kern w:val="0"/>
          <w:sz w:val="28"/>
          <w:szCs w:val="28"/>
          <w:lang w:eastAsia="zh-CN" w:bidi="ar"/>
        </w:rPr>
        <w:t>：</w:t>
      </w:r>
    </w:p>
    <w:p w14:paraId="52CFA934">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本专业组建了一支高学历、跨学科、教科研与实践兼备的核心教学团队，依托经济与管理学院信息管理系优质师资，12 名专任教师均为博士学历，教授、副教授占比高，跨学科合作频繁，且拥有丰富的企业实践与项目指导经验。</w:t>
      </w:r>
    </w:p>
    <w:p w14:paraId="3B34792D">
      <w:pPr>
        <w:widowControl/>
        <w:numPr>
          <w:ilvl w:val="0"/>
          <w:numId w:val="0"/>
        </w:numPr>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4.</w:t>
      </w:r>
      <w:r>
        <w:rPr>
          <w:rFonts w:hint="eastAsia" w:ascii="方正公文仿宋" w:hAnsi="方正公文仿宋" w:eastAsia="方正公文仿宋" w:cs="方正公文仿宋"/>
          <w:b/>
          <w:bCs/>
          <w:color w:val="000000"/>
          <w:kern w:val="0"/>
          <w:sz w:val="28"/>
          <w:szCs w:val="28"/>
          <w:lang w:bidi="ar"/>
        </w:rPr>
        <w:t>课程设置</w:t>
      </w:r>
      <w:r>
        <w:rPr>
          <w:rFonts w:hint="eastAsia" w:ascii="方正公文仿宋" w:hAnsi="方正公文仿宋" w:eastAsia="方正公文仿宋" w:cs="方正公文仿宋"/>
          <w:b/>
          <w:bCs/>
          <w:color w:val="000000"/>
          <w:kern w:val="0"/>
          <w:sz w:val="28"/>
          <w:szCs w:val="28"/>
          <w:lang w:eastAsia="zh-CN" w:bidi="ar"/>
        </w:rPr>
        <w:t>：</w:t>
      </w:r>
    </w:p>
    <w:p w14:paraId="6A0677A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1、课程设置思路</w:t>
      </w:r>
    </w:p>
    <w:p w14:paraId="3DC97F4A">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专业课程体系设计强调理论与实践深度融合，构建了一条从数据获取与认知、数据分析与洞见、数据治理与管理、智能决策与应用的完整能力培养路径。课程设计采用层层递进的结构：首先通过数据挖掘课程，使学生学习如何从海量数据中获取所需的数据；其次通过大数据分析与可视化课程教授如何将复杂的数据通过分析转化为直观、可交互的有效数据；然后在数据治理与数据质量管理课程中系统讲解如何对数据进行有效管理和控制，确保数据在整个生命周期内的安全性及合规性；最后通过《智能决策支持系统》课程，培养学生综合运用专业所学知识与技术，设计并集成支持管理决策的智能解决方案的能力。本专业课程设置构成了一个从技术基础到顶层设计、从单一技能到综合应用的完整知识闭环，确保学生能够具备数据分析与智能决策的相关能力，满足数字经济时代对复合型人才的核心能力要求。</w:t>
      </w:r>
    </w:p>
    <w:p w14:paraId="50B22F81">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2、课程具体情况</w:t>
      </w:r>
    </w:p>
    <w:p w14:paraId="327D21AC">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（1）数据挖掘与机器学习</w:t>
      </w:r>
    </w:p>
    <w:p w14:paraId="38404E65">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本课程共计32学时，2学分，主要讲授从海量数据中提取有价值数据的核心理论与方法，主要内容包括分类、聚类、关联规则等经典算法，及其在科研中的实际应用。</w:t>
      </w:r>
    </w:p>
    <w:p w14:paraId="1E4780DD">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（2）大数据分析与可视化</w:t>
      </w:r>
    </w:p>
    <w:p w14:paraId="0D1D3875">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本课程共计32学时，2学分，聚焦于大数据处理与分析结果的呈现，涵盖大数据技术基础以及数据可视化原理与技术，培养学生利用现代工具将复杂数据转化为直观图表和交互式报告的能力。</w:t>
      </w:r>
    </w:p>
    <w:p w14:paraId="579E3D8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（3）数据治理与数据质量管理</w:t>
      </w:r>
    </w:p>
    <w:p w14:paraId="01F4427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本课程共计32学时，2学分，系统阐述数据治理的框架与方法，核心内容包括如何制定数据管理的规则与标准，如何评估和提升数据的准确性与一致性，以及如何确保数据的使用安全、合法且符合道德规范等内容。</w:t>
      </w:r>
    </w:p>
    <w:p w14:paraId="6436F5B5">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（4）智能决策支持系统系统</w:t>
      </w:r>
    </w:p>
    <w:p w14:paraId="5283B9A3">
      <w:pPr>
        <w:spacing w:line="360" w:lineRule="auto"/>
        <w:ind w:firstLine="560" w:firstLineChars="200"/>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sz w:val="28"/>
          <w:szCs w:val="28"/>
        </w:rPr>
        <w:t>本课程共计32学时，2学分，主要内容包括决策分析理论基础、系统架构设计、人机交互界面开发，以及如何集成数据挖掘模型与分析结果，构建实用的决策支持工具等。</w:t>
      </w:r>
    </w:p>
    <w:tbl>
      <w:tblPr>
        <w:tblStyle w:val="6"/>
        <w:tblpPr w:leftFromText="180" w:rightFromText="180" w:vertAnchor="text" w:horzAnchor="page" w:tblpXSpec="center" w:tblpY="167"/>
        <w:tblOverlap w:val="never"/>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4"/>
        <w:gridCol w:w="1155"/>
        <w:gridCol w:w="1138"/>
        <w:gridCol w:w="1621"/>
      </w:tblGrid>
      <w:tr w14:paraId="6DD3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4" w:type="dxa"/>
          </w:tcPr>
          <w:p w14:paraId="466696F5">
            <w:pPr>
              <w:widowControl/>
              <w:spacing w:line="360" w:lineRule="auto"/>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课程名称</w:t>
            </w:r>
          </w:p>
        </w:tc>
        <w:tc>
          <w:tcPr>
            <w:tcW w:w="1155" w:type="dxa"/>
          </w:tcPr>
          <w:p w14:paraId="2E374B03">
            <w:pPr>
              <w:widowControl/>
              <w:spacing w:line="360" w:lineRule="auto"/>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学时</w:t>
            </w:r>
          </w:p>
        </w:tc>
        <w:tc>
          <w:tcPr>
            <w:tcW w:w="1138" w:type="dxa"/>
          </w:tcPr>
          <w:p w14:paraId="2B5B2B31">
            <w:pPr>
              <w:widowControl/>
              <w:spacing w:line="360" w:lineRule="auto"/>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学分</w:t>
            </w:r>
          </w:p>
        </w:tc>
        <w:tc>
          <w:tcPr>
            <w:tcW w:w="1621" w:type="dxa"/>
          </w:tcPr>
          <w:p w14:paraId="24A0939F">
            <w:pPr>
              <w:widowControl/>
              <w:spacing w:line="360" w:lineRule="auto"/>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开课学期</w:t>
            </w:r>
          </w:p>
        </w:tc>
      </w:tr>
      <w:tr w14:paraId="3294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4" w:type="dxa"/>
            <w:vAlign w:val="center"/>
          </w:tcPr>
          <w:p w14:paraId="519F6D7A">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数据挖掘与机器学习</w:t>
            </w:r>
          </w:p>
        </w:tc>
        <w:tc>
          <w:tcPr>
            <w:tcW w:w="1155" w:type="dxa"/>
            <w:vAlign w:val="center"/>
          </w:tcPr>
          <w:p w14:paraId="6A6F239C">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32</w:t>
            </w:r>
          </w:p>
        </w:tc>
        <w:tc>
          <w:tcPr>
            <w:tcW w:w="1138" w:type="dxa"/>
            <w:vAlign w:val="center"/>
          </w:tcPr>
          <w:p w14:paraId="0713598C">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w:t>
            </w:r>
          </w:p>
        </w:tc>
        <w:tc>
          <w:tcPr>
            <w:tcW w:w="1621" w:type="dxa"/>
            <w:vAlign w:val="center"/>
          </w:tcPr>
          <w:p w14:paraId="4E586005">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5</w:t>
            </w:r>
          </w:p>
        </w:tc>
      </w:tr>
      <w:tr w14:paraId="7FB1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4" w:type="dxa"/>
            <w:vAlign w:val="center"/>
          </w:tcPr>
          <w:p w14:paraId="0121DF71">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大数据分析与可视化</w:t>
            </w:r>
          </w:p>
        </w:tc>
        <w:tc>
          <w:tcPr>
            <w:tcW w:w="1155" w:type="dxa"/>
            <w:vAlign w:val="center"/>
          </w:tcPr>
          <w:p w14:paraId="4D8666E5">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32</w:t>
            </w:r>
          </w:p>
        </w:tc>
        <w:tc>
          <w:tcPr>
            <w:tcW w:w="1138" w:type="dxa"/>
            <w:vAlign w:val="center"/>
          </w:tcPr>
          <w:p w14:paraId="31067E90">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w:t>
            </w:r>
          </w:p>
        </w:tc>
        <w:tc>
          <w:tcPr>
            <w:tcW w:w="1621" w:type="dxa"/>
            <w:vAlign w:val="center"/>
          </w:tcPr>
          <w:p w14:paraId="6442CFDC">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5</w:t>
            </w:r>
          </w:p>
        </w:tc>
      </w:tr>
      <w:tr w14:paraId="66B9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4" w:type="dxa"/>
            <w:vAlign w:val="center"/>
          </w:tcPr>
          <w:p w14:paraId="020CEC1C">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数据治理与数据质量管理</w:t>
            </w:r>
          </w:p>
        </w:tc>
        <w:tc>
          <w:tcPr>
            <w:tcW w:w="1155" w:type="dxa"/>
            <w:vAlign w:val="center"/>
          </w:tcPr>
          <w:p w14:paraId="62078769">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32</w:t>
            </w:r>
          </w:p>
        </w:tc>
        <w:tc>
          <w:tcPr>
            <w:tcW w:w="1138" w:type="dxa"/>
            <w:vAlign w:val="center"/>
          </w:tcPr>
          <w:p w14:paraId="28696821">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w:t>
            </w:r>
          </w:p>
        </w:tc>
        <w:tc>
          <w:tcPr>
            <w:tcW w:w="1621" w:type="dxa"/>
            <w:vAlign w:val="center"/>
          </w:tcPr>
          <w:p w14:paraId="0BFF42B1">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6</w:t>
            </w:r>
          </w:p>
        </w:tc>
      </w:tr>
      <w:tr w14:paraId="4E06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594" w:type="dxa"/>
            <w:vAlign w:val="center"/>
          </w:tcPr>
          <w:p w14:paraId="52D79602">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智能决策支持系统</w:t>
            </w:r>
          </w:p>
        </w:tc>
        <w:tc>
          <w:tcPr>
            <w:tcW w:w="1155" w:type="dxa"/>
            <w:vAlign w:val="center"/>
          </w:tcPr>
          <w:p w14:paraId="1A04EA3B">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32</w:t>
            </w:r>
          </w:p>
        </w:tc>
        <w:tc>
          <w:tcPr>
            <w:tcW w:w="1138" w:type="dxa"/>
            <w:vAlign w:val="center"/>
          </w:tcPr>
          <w:p w14:paraId="7A802206">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w:t>
            </w:r>
          </w:p>
        </w:tc>
        <w:tc>
          <w:tcPr>
            <w:tcW w:w="1621" w:type="dxa"/>
            <w:vAlign w:val="center"/>
          </w:tcPr>
          <w:p w14:paraId="0E6E2420">
            <w:pPr>
              <w:widowControl/>
              <w:spacing w:line="360" w:lineRule="auto"/>
              <w:jc w:val="center"/>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6</w:t>
            </w:r>
          </w:p>
        </w:tc>
      </w:tr>
    </w:tbl>
    <w:p w14:paraId="6A4DA036">
      <w:pPr>
        <w:widowControl/>
        <w:spacing w:line="360" w:lineRule="auto"/>
        <w:jc w:val="left"/>
        <w:rPr>
          <w:rFonts w:hint="eastAsia" w:ascii="方正公文仿宋" w:hAnsi="方正公文仿宋" w:eastAsia="方正公文仿宋" w:cs="方正公文仿宋"/>
          <w:b/>
          <w:bCs/>
          <w:kern w:val="0"/>
          <w:sz w:val="28"/>
          <w:szCs w:val="28"/>
        </w:rPr>
      </w:pPr>
    </w:p>
    <w:p w14:paraId="78A7799B">
      <w:pPr>
        <w:widowControl/>
        <w:numPr>
          <w:ilvl w:val="0"/>
          <w:numId w:val="0"/>
        </w:numPr>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5.</w:t>
      </w:r>
      <w:r>
        <w:rPr>
          <w:rFonts w:hint="eastAsia" w:ascii="方正公文仿宋" w:hAnsi="方正公文仿宋" w:eastAsia="方正公文仿宋" w:cs="方正公文仿宋"/>
          <w:b/>
          <w:bCs/>
          <w:color w:val="000000"/>
          <w:kern w:val="0"/>
          <w:sz w:val="28"/>
          <w:szCs w:val="28"/>
          <w:lang w:bidi="ar"/>
        </w:rPr>
        <w:t>招生对象与报名要求</w:t>
      </w:r>
      <w:r>
        <w:rPr>
          <w:rFonts w:hint="eastAsia" w:ascii="方正公文仿宋" w:hAnsi="方正公文仿宋" w:eastAsia="方正公文仿宋" w:cs="方正公文仿宋"/>
          <w:b/>
          <w:bCs/>
          <w:color w:val="000000"/>
          <w:kern w:val="0"/>
          <w:sz w:val="28"/>
          <w:szCs w:val="28"/>
          <w:lang w:eastAsia="zh-CN" w:bidi="ar"/>
        </w:rPr>
        <w:t>：</w:t>
      </w:r>
    </w:p>
    <w:p w14:paraId="45BE7768">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1、招生对象：华南师范大学全校全日制本科生，2023 级应届毕业生招生占比不低于 30%，优先面向大三学生开放（其他年级符合条件者亦可报名）。</w:t>
      </w:r>
    </w:p>
    <w:p w14:paraId="6A268341">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 报名要求：对数据分析、数据决策领域有浓厚学习兴趣；具备基本的数学或计算机基础者优先；鼓励跨专业、跨学科报考，欢迎不同专业背景学生报名构建数据决策核心竞争力。</w:t>
      </w:r>
    </w:p>
    <w:p w14:paraId="6940C105">
      <w:pPr>
        <w:spacing w:line="360" w:lineRule="auto"/>
        <w:ind w:firstLine="560" w:firstLineChars="200"/>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sz w:val="28"/>
          <w:szCs w:val="28"/>
        </w:rPr>
        <w:t>3、招生规模：总招生名额 30 人，成班人数不低于 10 人。</w:t>
      </w:r>
    </w:p>
    <w:p w14:paraId="7D9C11AD">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6.</w:t>
      </w:r>
      <w:r>
        <w:rPr>
          <w:rFonts w:hint="eastAsia" w:ascii="方正公文仿宋" w:hAnsi="方正公文仿宋" w:eastAsia="方正公文仿宋" w:cs="方正公文仿宋"/>
          <w:b/>
          <w:bCs/>
          <w:color w:val="000000"/>
          <w:kern w:val="0"/>
          <w:sz w:val="28"/>
          <w:szCs w:val="28"/>
          <w:lang w:bidi="ar"/>
        </w:rPr>
        <w:t>报名方式与报名时间</w:t>
      </w:r>
      <w:r>
        <w:rPr>
          <w:rFonts w:hint="eastAsia" w:ascii="方正公文仿宋" w:hAnsi="方正公文仿宋" w:eastAsia="方正公文仿宋" w:cs="方正公文仿宋"/>
          <w:b/>
          <w:bCs/>
          <w:color w:val="000000"/>
          <w:kern w:val="0"/>
          <w:sz w:val="28"/>
          <w:szCs w:val="28"/>
          <w:lang w:eastAsia="zh-CN" w:bidi="ar"/>
        </w:rPr>
        <w:t>：</w:t>
      </w:r>
    </w:p>
    <w:p w14:paraId="181585B5">
      <w:pPr>
        <w:spacing w:line="360" w:lineRule="auto"/>
        <w:ind w:firstLine="560" w:firstLineChars="200"/>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sz w:val="28"/>
          <w:szCs w:val="28"/>
        </w:rPr>
        <w:t>详情见学校《关于 2026 年微专业修读项目宣传及学生遴选工作的通知》。</w:t>
      </w:r>
    </w:p>
    <w:p w14:paraId="089C21A2">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7.</w:t>
      </w:r>
      <w:r>
        <w:rPr>
          <w:rFonts w:hint="eastAsia" w:ascii="方正公文仿宋" w:hAnsi="方正公文仿宋" w:eastAsia="方正公文仿宋" w:cs="方正公文仿宋"/>
          <w:b/>
          <w:bCs/>
          <w:color w:val="000000"/>
          <w:kern w:val="0"/>
          <w:sz w:val="28"/>
          <w:szCs w:val="28"/>
          <w:lang w:bidi="ar"/>
        </w:rPr>
        <w:t>宣讲互动方式、时间、地点</w:t>
      </w:r>
      <w:r>
        <w:rPr>
          <w:rFonts w:hint="eastAsia" w:ascii="方正公文仿宋" w:hAnsi="方正公文仿宋" w:eastAsia="方正公文仿宋" w:cs="方正公文仿宋"/>
          <w:b/>
          <w:bCs/>
          <w:color w:val="000000"/>
          <w:kern w:val="0"/>
          <w:sz w:val="28"/>
          <w:szCs w:val="28"/>
          <w:lang w:eastAsia="zh-CN" w:bidi="ar"/>
        </w:rPr>
        <w:t>：</w:t>
      </w:r>
    </w:p>
    <w:p w14:paraId="16834618">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具体安排请留意华南师范大学经济与管理学院后续官方通知。</w:t>
      </w:r>
    </w:p>
    <w:p w14:paraId="6EBED498">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8.</w:t>
      </w:r>
      <w:r>
        <w:rPr>
          <w:rFonts w:hint="eastAsia" w:ascii="方正公文仿宋" w:hAnsi="方正公文仿宋" w:eastAsia="方正公文仿宋" w:cs="方正公文仿宋"/>
          <w:b/>
          <w:bCs/>
          <w:color w:val="000000"/>
          <w:kern w:val="0"/>
          <w:sz w:val="28"/>
          <w:szCs w:val="28"/>
          <w:lang w:bidi="ar"/>
        </w:rPr>
        <w:t>遴选方式、时间、地点</w:t>
      </w:r>
      <w:r>
        <w:rPr>
          <w:rFonts w:hint="eastAsia" w:ascii="方正公文仿宋" w:hAnsi="方正公文仿宋" w:eastAsia="方正公文仿宋" w:cs="方正公文仿宋"/>
          <w:b/>
          <w:bCs/>
          <w:color w:val="000000"/>
          <w:kern w:val="0"/>
          <w:sz w:val="28"/>
          <w:szCs w:val="28"/>
          <w:lang w:eastAsia="zh-CN" w:bidi="ar"/>
        </w:rPr>
        <w:t>：</w:t>
      </w:r>
    </w:p>
    <w:p w14:paraId="1AE7B329">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1、遴选方式：结合学生报名材料审核、综合学业表现、专业适配性进行综合遴选，择优录取；具体考核形式以学院后续官方通知为准。</w:t>
      </w:r>
    </w:p>
    <w:p w14:paraId="2C04F288">
      <w:pPr>
        <w:spacing w:line="360" w:lineRule="auto"/>
        <w:ind w:firstLine="560" w:firstLineChars="200"/>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sz w:val="28"/>
          <w:szCs w:val="28"/>
        </w:rPr>
        <w:t>2、遴选时间 &amp; 地点：具体安排请留意华南师范大学经济与管理学院后续官方通知；若本学期第 9 周开课，将于前 8 周完成遴选并公布拟录取名单。</w:t>
      </w:r>
    </w:p>
    <w:p w14:paraId="6B9C45A0">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9.</w:t>
      </w:r>
      <w:r>
        <w:rPr>
          <w:rFonts w:hint="eastAsia" w:ascii="方正公文仿宋" w:hAnsi="方正公文仿宋" w:eastAsia="方正公文仿宋" w:cs="方正公文仿宋"/>
          <w:b/>
          <w:bCs/>
          <w:color w:val="000000"/>
          <w:kern w:val="0"/>
          <w:sz w:val="28"/>
          <w:szCs w:val="28"/>
          <w:lang w:bidi="ar"/>
        </w:rPr>
        <w:t>教学安排</w:t>
      </w:r>
      <w:r>
        <w:rPr>
          <w:rFonts w:hint="eastAsia" w:ascii="方正公文仿宋" w:hAnsi="方正公文仿宋" w:eastAsia="方正公文仿宋" w:cs="方正公文仿宋"/>
          <w:b/>
          <w:bCs/>
          <w:color w:val="000000"/>
          <w:kern w:val="0"/>
          <w:sz w:val="28"/>
          <w:szCs w:val="28"/>
          <w:lang w:eastAsia="zh-CN" w:bidi="ar"/>
        </w:rPr>
        <w:t>：</w:t>
      </w:r>
    </w:p>
    <w:p w14:paraId="06392348">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1、培养周期：2026 年 5 月 - 2027 年 5 月（毕业审核前完成全部教学与考核）。</w:t>
      </w:r>
    </w:p>
    <w:p w14:paraId="6A7C2656">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2、授课学期：2026 年春季学期（可从第 9 周开始）、暑假或 2026 年秋季学期，由学院根据学生报名情况统筹安排。</w:t>
      </w:r>
    </w:p>
    <w:p w14:paraId="49816AC8">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3、授课时间：为不影响主修专业学习，所有课程教学、实操训练与实践环节均安排在周末、晚间或寒暑假。</w:t>
      </w:r>
    </w:p>
    <w:p w14:paraId="5653C3AD">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4、授课地点：理论教学依托学校多媒体教室、智慧教室；实践教学依托学院互联网 + 虚拟仿真创新实训中心、电子商务实验室、经济分析实验室等专业场地；采用线上线下混合教学模式。</w:t>
      </w:r>
    </w:p>
    <w:p w14:paraId="2F52859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5、学习资源：为学生提供 MOOC、学习通等线上资源库，配套课程课件、实操视频、案例资料、工具使用教程等学习材料。</w:t>
      </w:r>
    </w:p>
    <w:p w14:paraId="1CE8A55B">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10.</w:t>
      </w:r>
      <w:r>
        <w:rPr>
          <w:rFonts w:hint="eastAsia" w:ascii="方正公文仿宋" w:hAnsi="方正公文仿宋" w:eastAsia="方正公文仿宋" w:cs="方正公文仿宋"/>
          <w:b/>
          <w:bCs/>
          <w:color w:val="000000"/>
          <w:kern w:val="0"/>
          <w:sz w:val="28"/>
          <w:szCs w:val="28"/>
          <w:lang w:bidi="ar"/>
        </w:rPr>
        <w:t>结业要求</w:t>
      </w:r>
      <w:r>
        <w:rPr>
          <w:rFonts w:hint="eastAsia" w:ascii="方正公文仿宋" w:hAnsi="方正公文仿宋" w:eastAsia="方正公文仿宋" w:cs="方正公文仿宋"/>
          <w:b/>
          <w:bCs/>
          <w:color w:val="000000"/>
          <w:kern w:val="0"/>
          <w:sz w:val="28"/>
          <w:szCs w:val="28"/>
          <w:lang w:eastAsia="zh-CN" w:bidi="ar"/>
        </w:rPr>
        <w:t>：</w:t>
      </w:r>
    </w:p>
    <w:p w14:paraId="45110845">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1、修读年限：学制 1 年，原则上修读年限不超过 2 年，且不超出学生主修专业修读年限。</w:t>
      </w:r>
    </w:p>
    <w:p w14:paraId="5113B08B">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2、证书获取条件：修满本微专业全部 8 学分，所有课程考核合格；完成课程对应的实操训练与实战项目，通过 “过程 + 成果” 双维度综合评价；经经济与管理学院审核并报学校本科生院审定后，可获得华南师范大学本科生院与经济与管理学院联合颁发的《数据资源与数据智能微专业证书》（证书不具备学历、学位证书效力）。</w:t>
      </w:r>
    </w:p>
    <w:p w14:paraId="533B084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3、弹性退出机制：若学生未能修满规定学分、考核不合格或中途退出学习，将暂停微专业学习资格，不予颁发微专业证书。</w:t>
      </w:r>
    </w:p>
    <w:p w14:paraId="6F9431CB">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11.</w:t>
      </w:r>
      <w:r>
        <w:rPr>
          <w:rFonts w:hint="eastAsia" w:ascii="方正公文仿宋" w:hAnsi="方正公文仿宋" w:eastAsia="方正公文仿宋" w:cs="方正公文仿宋"/>
          <w:b/>
          <w:bCs/>
          <w:color w:val="000000"/>
          <w:kern w:val="0"/>
          <w:sz w:val="28"/>
          <w:szCs w:val="28"/>
          <w:lang w:bidi="ar"/>
        </w:rPr>
        <w:t>管理措施和要求</w:t>
      </w:r>
      <w:r>
        <w:rPr>
          <w:rFonts w:hint="eastAsia" w:ascii="方正公文仿宋" w:hAnsi="方正公文仿宋" w:eastAsia="方正公文仿宋" w:cs="方正公文仿宋"/>
          <w:b/>
          <w:bCs/>
          <w:color w:val="000000"/>
          <w:kern w:val="0"/>
          <w:sz w:val="28"/>
          <w:szCs w:val="28"/>
          <w:lang w:eastAsia="zh-CN" w:bidi="ar"/>
        </w:rPr>
        <w:t>：</w:t>
      </w:r>
    </w:p>
    <w:p w14:paraId="5B204F15">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1、本微专业学习管理、成绩记载统一纳入学校教务管理系统，线上教务系统报名与线下报名同步进行，学生需按要求完成双渠道报名。</w:t>
      </w:r>
    </w:p>
    <w:p w14:paraId="0C26252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2、微专业修读的学分和成绩不计入学生综合测评、国家奖学金申评、推免攻读硕士研究生等资格评定范围。</w:t>
      </w:r>
    </w:p>
    <w:p w14:paraId="7E1EC66C">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3、学生需严格遵守学校及学院的教学管理规定，按时参加课程学习、实操训练、案例研讨与实战项目，无故缺课、考核不合格者将影响学分获取。</w:t>
      </w:r>
    </w:p>
    <w:p w14:paraId="2EB226B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4、学校不收取本微专业学费，学习过程中产生的学习资料、MOOC 认证、外地游学等费用由学生自理。</w:t>
      </w:r>
    </w:p>
    <w:p w14:paraId="445E2E1B">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5、学院将密切关注数据分析与智能决策领域的技术发展趋势和行业需求变化，定期对课程内容、教学计划、教学方法进行动态调整，确保教学内容的时效性和先进性。</w:t>
      </w:r>
    </w:p>
    <w:p w14:paraId="5F04F5BA">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6、学生修读期间可参与学院组织的数据分析竞赛、企业实习、创新创业项目等活动，提升实践能力与综合素养，优秀项目成果可推荐参与各类赛事与企业合作对接。</w:t>
      </w:r>
    </w:p>
    <w:p w14:paraId="6D14349E">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275BFAE6">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bookmarkStart w:id="0" w:name="_GoBack"/>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bookmarkEnd w:id="0"/>
    <w:p w14:paraId="43796593">
      <w:pPr>
        <w:widowControl/>
        <w:spacing w:line="360" w:lineRule="auto"/>
        <w:jc w:val="left"/>
        <w:rPr>
          <w:rFonts w:hint="eastAsia" w:ascii="方正公文仿宋" w:hAnsi="方正公文仿宋" w:eastAsia="方正公文仿宋" w:cs="方正公文仿宋"/>
          <w:b/>
          <w:bCs/>
          <w:kern w:val="0"/>
          <w:sz w:val="28"/>
          <w:szCs w:val="28"/>
        </w:rPr>
      </w:pPr>
    </w:p>
    <w:p w14:paraId="48AF1B27">
      <w:pPr>
        <w:rPr>
          <w:rFonts w:hint="eastAsia" w:ascii="方正公文仿宋" w:hAnsi="方正公文仿宋" w:eastAsia="方正公文仿宋" w:cs="方正公文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CB76FAD5-B882-4E69-82B9-487ABA1D0CED}"/>
  </w:font>
  <w:font w:name="方正公文仿宋">
    <w:panose1 w:val="02000500000000000000"/>
    <w:charset w:val="86"/>
    <w:family w:val="auto"/>
    <w:pitch w:val="default"/>
    <w:sig w:usb0="A00002BF" w:usb1="38CF7CFA" w:usb2="00000016" w:usb3="00000000" w:csb0="00040001" w:csb1="00000000"/>
    <w:embedRegular r:id="rId2" w:fontKey="{72C96522-0D65-4961-9717-DA3F221482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E33C12"/>
    <w:rsid w:val="002D3899"/>
    <w:rsid w:val="00653D9A"/>
    <w:rsid w:val="007B5006"/>
    <w:rsid w:val="00823649"/>
    <w:rsid w:val="00B63E07"/>
    <w:rsid w:val="00E21629"/>
    <w:rsid w:val="1F7E1350"/>
    <w:rsid w:val="4D49611B"/>
    <w:rsid w:val="55220FCB"/>
    <w:rsid w:val="59955D3F"/>
    <w:rsid w:val="6AE33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3024</Words>
  <Characters>3081</Characters>
  <Lines>81</Lines>
  <Paragraphs>76</Paragraphs>
  <TotalTime>0</TotalTime>
  <ScaleCrop>false</ScaleCrop>
  <LinksUpToDate>false</LinksUpToDate>
  <CharactersWithSpaces>3126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2026-03-16T15:38:00Z</dcterms:created>
  <dc:creator>樂</dc:creator>
  <cp:lastModifiedBy>Smile</cp:lastModifiedBy>
  <dcterms:modified xsi:type="dcterms:W3CDTF">2026-03-18T06:58:42Z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4F738A83A2BC4A76BBBC8098EC3BD87B_13</vt:lpwstr>
  </property>
  <property fmtid="{D5CDD505-2E9C-101B-9397-08002B2CF9AE}" pid="4" name="KSOTemplateDocerSaveRecord">
    <vt:lpwstr>eyJoZGlkIjoiZGYwOWJlNTY0ZjMwYjcyMmUwNzA2ODU0ZTFhMTk2YzMiLCJ1c2VySWQiOiI1MTIxODgyMzYifQ==</vt:lpwstr>
  </property>
</Properties>
</file>