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E305D">
      <w:pPr>
        <w:spacing w:line="360" w:lineRule="auto"/>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2026年</w:t>
      </w:r>
      <w:r>
        <w:rPr>
          <w:rFonts w:hint="eastAsia" w:ascii="方正小标宋_GBK" w:hAnsi="方正小标宋_GBK" w:eastAsia="方正小标宋_GBK" w:cs="方正小标宋_GBK"/>
          <w:b/>
          <w:bCs/>
          <w:sz w:val="36"/>
          <w:szCs w:val="36"/>
          <w:lang w:val="en-US" w:eastAsia="zh-CN"/>
        </w:rPr>
        <w:t>金融素养教育</w:t>
      </w:r>
      <w:r>
        <w:rPr>
          <w:rFonts w:hint="eastAsia" w:ascii="方正小标宋_GBK" w:hAnsi="方正小标宋_GBK" w:eastAsia="方正小标宋_GBK" w:cs="方正小标宋_GBK"/>
          <w:b/>
          <w:bCs/>
          <w:sz w:val="36"/>
          <w:szCs w:val="36"/>
        </w:rPr>
        <w:t>微专业项目遴选说明</w:t>
      </w:r>
    </w:p>
    <w:p w14:paraId="7BD4EC41">
      <w:pPr>
        <w:spacing w:line="360" w:lineRule="auto"/>
        <w:rPr>
          <w:rFonts w:hint="eastAsia" w:ascii="宋体" w:hAnsi="宋体" w:eastAsia="宋体"/>
          <w:sz w:val="24"/>
          <w:szCs w:val="24"/>
        </w:rPr>
      </w:pPr>
    </w:p>
    <w:p w14:paraId="7A08505D">
      <w:pPr>
        <w:spacing w:line="560" w:lineRule="exact"/>
        <w:rPr>
          <w:rFonts w:hint="eastAsia" w:ascii="方正公文仿宋" w:hAnsi="方正公文仿宋" w:eastAsia="方正公文仿宋" w:cs="方正公文仿宋"/>
          <w:b/>
          <w:bCs/>
          <w:sz w:val="28"/>
          <w:szCs w:val="28"/>
        </w:rPr>
      </w:pPr>
      <w:bookmarkStart w:id="0" w:name="_GoBack"/>
      <w:r>
        <w:rPr>
          <w:rFonts w:hint="eastAsia" w:ascii="方正公文仿宋" w:hAnsi="方正公文仿宋" w:eastAsia="方正公文仿宋" w:cs="方正公文仿宋"/>
          <w:b/>
          <w:bCs/>
          <w:sz w:val="28"/>
          <w:szCs w:val="28"/>
        </w:rPr>
        <w:t>1. 专业简介</w:t>
      </w:r>
    </w:p>
    <w:p w14:paraId="7A695964">
      <w:pPr>
        <w:spacing w:line="560" w:lineRule="exact"/>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金融素养教育微专业旨在响应国家将金融普及与教育纳入国民教育体系的号召，聚焦中小学金融素养教育需求。本微专业以“教育+金融”为跨学科底色，培养既掌握教育规律、又具备金融知识的复合型人才。课程内容涵盖金融学基础、个人理财与风险防范、教学法与实战应用，旨在打造中小学金融素养教育的“种子教师”。学生通过学习，能够提升就业竞争力，胜任学校金融素养类课程教学、社团活动引导，或在金融机构、出版机构、教育培训机构从事相关工作，实现高质量就业。</w:t>
      </w:r>
    </w:p>
    <w:p w14:paraId="379F9087">
      <w:pPr>
        <w:spacing w:line="560" w:lineRule="exac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2. 培养特色</w:t>
      </w:r>
    </w:p>
    <w:p w14:paraId="369755E1">
      <w:pPr>
        <w:spacing w:line="560" w:lineRule="exact"/>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金融素养教育微专业构建“理论奠基—方法赋能—模拟实战—实践创造”的递进式培养体系，弃深奥数学模型，大量采用社会生活与校园生活中的真实案例，强调金融知识的有效教学转化。本专业推行“校内导师+金融专家”的双师型协同育人机制，引入万联证券、广州金融发展服务中心等机构资源，通过沙盘模拟、课堂观摩、项目设计等形式，实现从理论学习到教学实践的闭环。相比主修专业，本专业更注重教学转化能力与金融素养的结合，助力学生在原有专业基础上拓展职业赛道。</w:t>
      </w:r>
    </w:p>
    <w:p w14:paraId="76DF0D4E">
      <w:pPr>
        <w:spacing w:line="560" w:lineRule="exac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3. 师资力量</w:t>
      </w:r>
    </w:p>
    <w:p w14:paraId="66C658A6">
      <w:pPr>
        <w:spacing w:line="560" w:lineRule="exact"/>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核心教学团队由经济与管理学院 12 位资深专业教师与 5 位行业资深导师组成，覆盖经济学、金融学、教育技术学、证券投资等领域，兼具深厚理论功底与一线教育实践经验。团队聚焦青少年金融素养培养方向，以产学研协同保障教学质量与教学转化能力。团队成员中，教授 6 名、副教授 3 名、讲师 2 名、高级职称专业人才 6 名。</w:t>
      </w:r>
    </w:p>
    <w:p w14:paraId="53B46B9E">
      <w:pPr>
        <w:spacing w:line="560" w:lineRule="exac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4. 课程设置</w:t>
      </w:r>
    </w:p>
    <w:p w14:paraId="6243D62F">
      <w:pPr>
        <w:spacing w:line="560" w:lineRule="exact"/>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本微专业设置 5 门核心课程，即经济学与金融学基础、个人理财与风险防范、青少年金融素养教学法、金融沙盘模拟与实战、金融素养教育项目设计与实践。课程计划表如表 1。</w:t>
      </w:r>
    </w:p>
    <w:p w14:paraId="5F7CA8E8">
      <w:pPr>
        <w:jc w:val="cente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表 1  金融素养教育微专业课程计划表</w:t>
      </w:r>
    </w:p>
    <w:tbl>
      <w:tblPr>
        <w:tblStyle w:val="16"/>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789"/>
        <w:gridCol w:w="2013"/>
        <w:gridCol w:w="1096"/>
        <w:gridCol w:w="665"/>
        <w:gridCol w:w="1507"/>
        <w:gridCol w:w="1113"/>
      </w:tblGrid>
      <w:tr w14:paraId="7DE1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42E0CE63">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课程名称</w:t>
            </w:r>
          </w:p>
        </w:tc>
        <w:tc>
          <w:tcPr>
            <w:tcW w:w="795" w:type="dxa"/>
            <w:vAlign w:val="center"/>
          </w:tcPr>
          <w:p w14:paraId="455A8534">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学分/学时</w:t>
            </w:r>
          </w:p>
        </w:tc>
        <w:tc>
          <w:tcPr>
            <w:tcW w:w="2126" w:type="dxa"/>
            <w:vAlign w:val="center"/>
          </w:tcPr>
          <w:p w14:paraId="3CB5028B">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核心内容</w:t>
            </w:r>
          </w:p>
        </w:tc>
        <w:tc>
          <w:tcPr>
            <w:tcW w:w="1134" w:type="dxa"/>
            <w:vAlign w:val="center"/>
          </w:tcPr>
          <w:p w14:paraId="072F627F">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教学方式</w:t>
            </w:r>
          </w:p>
        </w:tc>
        <w:tc>
          <w:tcPr>
            <w:tcW w:w="685" w:type="dxa"/>
            <w:vAlign w:val="center"/>
          </w:tcPr>
          <w:p w14:paraId="3FE24700">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考核方式</w:t>
            </w:r>
          </w:p>
        </w:tc>
        <w:tc>
          <w:tcPr>
            <w:tcW w:w="1185" w:type="dxa"/>
            <w:vAlign w:val="center"/>
          </w:tcPr>
          <w:p w14:paraId="66CAB2EC">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开课学期</w:t>
            </w:r>
          </w:p>
        </w:tc>
        <w:tc>
          <w:tcPr>
            <w:tcW w:w="1185" w:type="dxa"/>
            <w:vAlign w:val="center"/>
          </w:tcPr>
          <w:p w14:paraId="093F0578">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任课教师</w:t>
            </w:r>
          </w:p>
        </w:tc>
      </w:tr>
      <w:tr w14:paraId="66C4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062A51EC">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经济学与金融学基础</w:t>
            </w:r>
          </w:p>
        </w:tc>
        <w:tc>
          <w:tcPr>
            <w:tcW w:w="795" w:type="dxa"/>
            <w:vAlign w:val="center"/>
          </w:tcPr>
          <w:p w14:paraId="20958C99">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3/48</w:t>
            </w:r>
          </w:p>
        </w:tc>
        <w:tc>
          <w:tcPr>
            <w:tcW w:w="2126" w:type="dxa"/>
            <w:vAlign w:val="center"/>
          </w:tcPr>
          <w:p w14:paraId="243F9676">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涵盖基本经济学原理（供求、市场、货币时间价值、银行功能）及通货膨胀等经济现象。</w:t>
            </w:r>
          </w:p>
        </w:tc>
        <w:tc>
          <w:tcPr>
            <w:tcW w:w="1134" w:type="dxa"/>
            <w:vAlign w:val="center"/>
          </w:tcPr>
          <w:p w14:paraId="367BEE48">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理论讲授、案例分析</w:t>
            </w:r>
          </w:p>
        </w:tc>
        <w:tc>
          <w:tcPr>
            <w:tcW w:w="685" w:type="dxa"/>
            <w:vAlign w:val="center"/>
          </w:tcPr>
          <w:p w14:paraId="4B710996">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考核</w:t>
            </w:r>
          </w:p>
        </w:tc>
        <w:tc>
          <w:tcPr>
            <w:tcW w:w="1185" w:type="dxa"/>
            <w:vAlign w:val="center"/>
          </w:tcPr>
          <w:p w14:paraId="4A8999A1">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2026-2027学年第一学期</w:t>
            </w:r>
          </w:p>
        </w:tc>
        <w:tc>
          <w:tcPr>
            <w:tcW w:w="1185" w:type="dxa"/>
            <w:vAlign w:val="center"/>
          </w:tcPr>
          <w:p w14:paraId="3F785599">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彭飞</w:t>
            </w:r>
          </w:p>
          <w:p w14:paraId="5F15E76B">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张勇</w:t>
            </w:r>
          </w:p>
          <w:p w14:paraId="6EDA433C">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张鹏</w:t>
            </w:r>
          </w:p>
          <w:p w14:paraId="5A2DE1A4">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林涛</w:t>
            </w:r>
          </w:p>
          <w:p w14:paraId="1BD7A309">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连洪泉</w:t>
            </w:r>
          </w:p>
        </w:tc>
      </w:tr>
      <w:tr w14:paraId="630F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34E7E313">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个人理财与风险防范</w:t>
            </w:r>
          </w:p>
        </w:tc>
        <w:tc>
          <w:tcPr>
            <w:tcW w:w="795" w:type="dxa"/>
            <w:vAlign w:val="center"/>
          </w:tcPr>
          <w:p w14:paraId="3EFF0D92">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3/48</w:t>
            </w:r>
          </w:p>
        </w:tc>
        <w:tc>
          <w:tcPr>
            <w:tcW w:w="2126" w:type="dxa"/>
            <w:vAlign w:val="center"/>
          </w:tcPr>
          <w:p w14:paraId="59B86052">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聚焦预算编制、储蓄、基础投资（股票、基金）、保险配置、信用管理及金融诈骗防范。</w:t>
            </w:r>
          </w:p>
        </w:tc>
        <w:tc>
          <w:tcPr>
            <w:tcW w:w="1134" w:type="dxa"/>
            <w:vAlign w:val="center"/>
          </w:tcPr>
          <w:p w14:paraId="1154122B">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理论讲授、案例分析</w:t>
            </w:r>
          </w:p>
        </w:tc>
        <w:tc>
          <w:tcPr>
            <w:tcW w:w="685" w:type="dxa"/>
            <w:vAlign w:val="center"/>
          </w:tcPr>
          <w:p w14:paraId="6149B012">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考核</w:t>
            </w:r>
          </w:p>
        </w:tc>
        <w:tc>
          <w:tcPr>
            <w:tcW w:w="1185" w:type="dxa"/>
            <w:vAlign w:val="center"/>
          </w:tcPr>
          <w:p w14:paraId="62F48212">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2026-2027学年第一学期</w:t>
            </w:r>
          </w:p>
        </w:tc>
        <w:tc>
          <w:tcPr>
            <w:tcW w:w="1185" w:type="dxa"/>
            <w:vAlign w:val="center"/>
          </w:tcPr>
          <w:p w14:paraId="41EDEC67">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肖健</w:t>
            </w:r>
          </w:p>
          <w:p w14:paraId="258E8725">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徐思</w:t>
            </w:r>
          </w:p>
          <w:p w14:paraId="5C0E259D">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何为</w:t>
            </w:r>
          </w:p>
          <w:p w14:paraId="334059CD">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古振华</w:t>
            </w:r>
          </w:p>
          <w:p w14:paraId="592EDD15">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陈然</w:t>
            </w:r>
          </w:p>
        </w:tc>
      </w:tr>
      <w:tr w14:paraId="2A2D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50BA40E7">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金融沙盘模拟与实战</w:t>
            </w:r>
          </w:p>
        </w:tc>
        <w:tc>
          <w:tcPr>
            <w:tcW w:w="795" w:type="dxa"/>
            <w:vAlign w:val="center"/>
          </w:tcPr>
          <w:p w14:paraId="1458D0F0">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1/32</w:t>
            </w:r>
          </w:p>
        </w:tc>
        <w:tc>
          <w:tcPr>
            <w:tcW w:w="2126" w:type="dxa"/>
            <w:vAlign w:val="center"/>
          </w:tcPr>
          <w:p w14:paraId="2E5433B2">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沉浸式体验金融沙盘，提升金融风险防范能力，同时学习沙盘开发基本方法。</w:t>
            </w:r>
          </w:p>
        </w:tc>
        <w:tc>
          <w:tcPr>
            <w:tcW w:w="1134" w:type="dxa"/>
            <w:vAlign w:val="center"/>
          </w:tcPr>
          <w:p w14:paraId="6F500974">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理论讲授、沙盘模拟与开发</w:t>
            </w:r>
          </w:p>
        </w:tc>
        <w:tc>
          <w:tcPr>
            <w:tcW w:w="685" w:type="dxa"/>
            <w:vAlign w:val="center"/>
          </w:tcPr>
          <w:p w14:paraId="6C87A684">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实践成果</w:t>
            </w:r>
          </w:p>
        </w:tc>
        <w:tc>
          <w:tcPr>
            <w:tcW w:w="1185" w:type="dxa"/>
            <w:vAlign w:val="center"/>
          </w:tcPr>
          <w:p w14:paraId="2B0C0E11">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2026-2027学年第一学期</w:t>
            </w:r>
          </w:p>
        </w:tc>
        <w:tc>
          <w:tcPr>
            <w:tcW w:w="1185" w:type="dxa"/>
            <w:vAlign w:val="center"/>
          </w:tcPr>
          <w:p w14:paraId="5E3989DD">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林涛</w:t>
            </w:r>
          </w:p>
          <w:p w14:paraId="586E71E7">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王鸣</w:t>
            </w:r>
          </w:p>
          <w:p w14:paraId="08845C40">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路晓娟</w:t>
            </w:r>
          </w:p>
        </w:tc>
      </w:tr>
      <w:tr w14:paraId="419F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4BC57E5F">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青少年金融素养教学法</w:t>
            </w:r>
          </w:p>
        </w:tc>
        <w:tc>
          <w:tcPr>
            <w:tcW w:w="795" w:type="dxa"/>
            <w:vAlign w:val="center"/>
          </w:tcPr>
          <w:p w14:paraId="728DF1B4">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2/32</w:t>
            </w:r>
          </w:p>
        </w:tc>
        <w:tc>
          <w:tcPr>
            <w:tcW w:w="2126" w:type="dxa"/>
            <w:vAlign w:val="center"/>
          </w:tcPr>
          <w:p w14:paraId="4A7E7582">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分析不同年龄段认知特点，设计教案、活动方案，掌握课堂引导技巧。</w:t>
            </w:r>
          </w:p>
        </w:tc>
        <w:tc>
          <w:tcPr>
            <w:tcW w:w="1134" w:type="dxa"/>
            <w:vAlign w:val="center"/>
          </w:tcPr>
          <w:p w14:paraId="706EE473">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理论讲授、案例分析、专题讲座</w:t>
            </w:r>
          </w:p>
        </w:tc>
        <w:tc>
          <w:tcPr>
            <w:tcW w:w="685" w:type="dxa"/>
            <w:vAlign w:val="center"/>
          </w:tcPr>
          <w:p w14:paraId="693F0304">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考核</w:t>
            </w:r>
          </w:p>
        </w:tc>
        <w:tc>
          <w:tcPr>
            <w:tcW w:w="1185" w:type="dxa"/>
            <w:vAlign w:val="center"/>
          </w:tcPr>
          <w:p w14:paraId="31639861">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2026-2027学年第二学期</w:t>
            </w:r>
          </w:p>
        </w:tc>
        <w:tc>
          <w:tcPr>
            <w:tcW w:w="1185" w:type="dxa"/>
            <w:vAlign w:val="center"/>
          </w:tcPr>
          <w:p w14:paraId="53974461">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詹泽慧</w:t>
            </w:r>
          </w:p>
          <w:p w14:paraId="5E27608A">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林涛</w:t>
            </w:r>
          </w:p>
          <w:p w14:paraId="1538DB9F">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连洪泉</w:t>
            </w:r>
          </w:p>
          <w:p w14:paraId="54D9989B">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路晓娟</w:t>
            </w:r>
          </w:p>
        </w:tc>
      </w:tr>
      <w:tr w14:paraId="35DB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7D056D2F">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金融素养教育项目设计与实践</w:t>
            </w:r>
          </w:p>
        </w:tc>
        <w:tc>
          <w:tcPr>
            <w:tcW w:w="795" w:type="dxa"/>
            <w:vAlign w:val="center"/>
          </w:tcPr>
          <w:p w14:paraId="543A8C4C">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1/32</w:t>
            </w:r>
          </w:p>
        </w:tc>
        <w:tc>
          <w:tcPr>
            <w:tcW w:w="2126" w:type="dxa"/>
            <w:vAlign w:val="center"/>
          </w:tcPr>
          <w:p w14:paraId="652532EC">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完成一套完整、可实施的校本课程或主题活动方案，并进行试讲。</w:t>
            </w:r>
          </w:p>
        </w:tc>
        <w:tc>
          <w:tcPr>
            <w:tcW w:w="1134" w:type="dxa"/>
            <w:vAlign w:val="center"/>
          </w:tcPr>
          <w:p w14:paraId="5F1F767A">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实训任务、项目设计、实践教学</w:t>
            </w:r>
          </w:p>
        </w:tc>
        <w:tc>
          <w:tcPr>
            <w:tcW w:w="685" w:type="dxa"/>
            <w:vAlign w:val="center"/>
          </w:tcPr>
          <w:p w14:paraId="551111FE">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实践成果</w:t>
            </w:r>
          </w:p>
        </w:tc>
        <w:tc>
          <w:tcPr>
            <w:tcW w:w="1185" w:type="dxa"/>
            <w:vAlign w:val="center"/>
          </w:tcPr>
          <w:p w14:paraId="0AEC17CA">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2026-2027学年第二学期、暑假</w:t>
            </w:r>
          </w:p>
        </w:tc>
        <w:tc>
          <w:tcPr>
            <w:tcW w:w="1185" w:type="dxa"/>
            <w:vAlign w:val="center"/>
          </w:tcPr>
          <w:p w14:paraId="21D5B64D">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王鸣</w:t>
            </w:r>
          </w:p>
          <w:p w14:paraId="1229BAD2">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林涛</w:t>
            </w:r>
          </w:p>
          <w:p w14:paraId="62DD3525">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路晓娟</w:t>
            </w:r>
          </w:p>
          <w:p w14:paraId="68BCD47D">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王盈</w:t>
            </w:r>
          </w:p>
          <w:p w14:paraId="1E59640C">
            <w:pPr>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何为</w:t>
            </w:r>
          </w:p>
        </w:tc>
      </w:tr>
    </w:tbl>
    <w:p w14:paraId="36CED939">
      <w:pPr>
        <w:jc w:val="center"/>
        <w:rPr>
          <w:rFonts w:hint="eastAsia" w:ascii="方正公文仿宋" w:hAnsi="方正公文仿宋" w:eastAsia="方正公文仿宋" w:cs="方正公文仿宋"/>
          <w:sz w:val="28"/>
          <w:szCs w:val="28"/>
        </w:rPr>
      </w:pPr>
    </w:p>
    <w:p w14:paraId="515E43ED">
      <w:pPr>
        <w:spacing w:line="560" w:lineRule="exact"/>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5. 招生对象与报名要求</w:t>
      </w:r>
    </w:p>
    <w:p w14:paraId="762C9316">
      <w:pPr>
        <w:spacing w:line="560" w:lineRule="exact"/>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本校大二及以上全日制本科生（师范类专业及经济管理类专业优先），专业不限，要求学有余力，对金融素养教育有热情，并计划从事教育或金融行业相关工作。</w:t>
      </w:r>
    </w:p>
    <w:p w14:paraId="60B73F86">
      <w:pPr>
        <w:spacing w:line="560" w:lineRule="exac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6. 报名方式与报名时间</w:t>
      </w:r>
    </w:p>
    <w:p w14:paraId="2713A064">
      <w:pPr>
        <w:spacing w:line="560" w:lineRule="exact"/>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详情见学校《关于 2026 年微专业修读项目宣传及学生遴选工作的通知》。</w:t>
      </w:r>
    </w:p>
    <w:p w14:paraId="04B04251">
      <w:pPr>
        <w:spacing w:line="560" w:lineRule="exac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7. 宣讲互动方式、时间、地点</w:t>
      </w:r>
    </w:p>
    <w:p w14:paraId="36FCD74C">
      <w:pPr>
        <w:spacing w:line="560" w:lineRule="exact"/>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具体安排请留意后续通知。</w:t>
      </w:r>
    </w:p>
    <w:p w14:paraId="40327357">
      <w:pPr>
        <w:spacing w:line="560" w:lineRule="exac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8. 遴选方式、时间、地点</w:t>
      </w:r>
    </w:p>
    <w:p w14:paraId="1CDC5694">
      <w:pPr>
        <w:spacing w:line="560" w:lineRule="exact"/>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遴选方式采用“材料审核+综合评分”方式。学生提交报名表、已有成绩单、简历（包括申请本微专业的动机和未来规划），教学团队对学生提交的材料进行审核和综合评分，择优录取。</w:t>
      </w:r>
    </w:p>
    <w:p w14:paraId="23971BCF">
      <w:pPr>
        <w:spacing w:line="560" w:lineRule="exac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9. 教学安排</w:t>
      </w:r>
    </w:p>
    <w:p w14:paraId="4BF228AF">
      <w:pPr>
        <w:spacing w:line="560" w:lineRule="exact"/>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 学年，采用线下教学模式，聚焦互动、研讨与实战指导。</w:t>
      </w:r>
    </w:p>
    <w:p w14:paraId="653E0222">
      <w:pPr>
        <w:spacing w:line="560" w:lineRule="exac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b/>
          <w:bCs/>
          <w:sz w:val="28"/>
          <w:szCs w:val="28"/>
        </w:rPr>
        <w:t>10. 结业要求</w:t>
      </w:r>
    </w:p>
    <w:p w14:paraId="240F8EE7">
      <w:pPr>
        <w:spacing w:line="560" w:lineRule="exact"/>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学制 1 年，总学分 10 学分。在本微专业修满全部学分，经过经济与管理学院审核，并报本科生院审定后，可获得由本科生院和经济与管理学院统一颁发的微专业证书（证书不具备学位证书效力）。</w:t>
      </w:r>
    </w:p>
    <w:p w14:paraId="1CF314D5">
      <w:pPr>
        <w:spacing w:line="560" w:lineRule="exact"/>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11. 管理措施和要求</w:t>
      </w:r>
    </w:p>
    <w:p w14:paraId="03E9F8C8">
      <w:pPr>
        <w:spacing w:line="560" w:lineRule="exact"/>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修读本微专业的学生需按规定报名遴选。按培养方案修读，严格考勤与过程考核，遵守课堂与考核纪律。成绩合格方可取得学分。满足修读年限、修满规定学分并通过结业审核，方能获得本微专业结业证书。</w:t>
      </w:r>
    </w:p>
    <w:bookmarkEnd w:id="0"/>
    <w:p w14:paraId="686AC519"/>
    <w:p w14:paraId="0DF01BB4">
      <w:pPr>
        <w:spacing w:line="360" w:lineRule="auto"/>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b/>
          <w:bCs/>
          <w:sz w:val="28"/>
          <w:szCs w:val="28"/>
        </w:rPr>
        <w:t>12.</w:t>
      </w:r>
      <w:r>
        <w:rPr>
          <w:rFonts w:hint="eastAsia" w:ascii="方正公文仿宋" w:hAnsi="方正公文仿宋" w:eastAsia="方正公文仿宋" w:cs="方正公文仿宋"/>
          <w:b/>
          <w:bCs/>
          <w:sz w:val="28"/>
          <w:szCs w:val="28"/>
          <w:lang w:val="en-US" w:eastAsia="zh-CN"/>
        </w:rPr>
        <w:t>联系人：</w:t>
      </w:r>
      <w:r>
        <w:rPr>
          <w:rFonts w:hint="eastAsia" w:ascii="方正公文仿宋" w:hAnsi="方正公文仿宋" w:eastAsia="方正公文仿宋" w:cs="方正公文仿宋"/>
          <w:sz w:val="28"/>
          <w:szCs w:val="28"/>
          <w:lang w:val="en-US" w:eastAsia="zh-CN"/>
        </w:rPr>
        <w:t>徐欣萌老师 020-39311159 邮箱：emjwb@126.com</w:t>
      </w:r>
    </w:p>
    <w:p w14:paraId="275BFAE6">
      <w:pPr>
        <w:spacing w:line="360" w:lineRule="auto"/>
        <w:ind w:firstLine="560" w:firstLineChars="200"/>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 xml:space="preserve">       陈娜老师   020-39310072  </w:t>
      </w:r>
    </w:p>
    <w:p w14:paraId="5FFA2C3F">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13.</w:t>
      </w:r>
      <w:r>
        <w:rPr>
          <w:rFonts w:hint="eastAsia" w:ascii="方正公文仿宋" w:hAnsi="方正公文仿宋" w:eastAsia="方正公文仿宋" w:cs="方正公文仿宋"/>
          <w:b/>
          <w:bCs/>
          <w:color w:val="000000"/>
          <w:kern w:val="0"/>
          <w:sz w:val="28"/>
          <w:szCs w:val="28"/>
          <w:lang w:bidi="ar"/>
        </w:rPr>
        <w:t>其他</w:t>
      </w:r>
      <w:r>
        <w:rPr>
          <w:rFonts w:hint="eastAsia" w:ascii="方正公文仿宋" w:hAnsi="方正公文仿宋" w:eastAsia="方正公文仿宋" w:cs="方正公文仿宋"/>
          <w:b/>
          <w:bCs/>
          <w:color w:val="000000"/>
          <w:kern w:val="0"/>
          <w:sz w:val="28"/>
          <w:szCs w:val="28"/>
          <w:lang w:eastAsia="zh-CN" w:bidi="ar"/>
        </w:rPr>
        <w:t>：</w:t>
      </w:r>
    </w:p>
    <w:p w14:paraId="6E1960E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本微专业为学校 “双千” 计划立项微专业，办学条件完善，拥有省级以上实验实践教学平台、校企共建实习基地等优质资源，全方位保障教学质量与实践体验。</w:t>
      </w:r>
    </w:p>
    <w:p w14:paraId="7B6A0D50">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拟录取学生名单由学院审核后报学校本科生院备案，备案通过后方可正式修读；若招生过程中出现系统问题，可及时向学院教务员反馈。</w:t>
      </w:r>
    </w:p>
    <w:p w14:paraId="4FF8444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本遴选说明最终解释权归华南师范大学经济与管理学院及本科生院所有，未尽事宜请以学校及学院后续官方通知为准。</w:t>
      </w:r>
    </w:p>
    <w:p w14:paraId="37D1CF9D">
      <w:pPr>
        <w:spacing w:line="360" w:lineRule="auto"/>
        <w:rPr>
          <w:rFonts w:hint="eastAsia" w:ascii="方正公文仿宋" w:hAnsi="方正公文仿宋" w:eastAsia="方正公文仿宋" w:cs="方正公文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1" w:fontKey="{335E7CEC-4AE0-48A9-982F-DFCC6CC5EC4B}"/>
  </w:font>
  <w:font w:name="方正公文仿宋">
    <w:panose1 w:val="02000500000000000000"/>
    <w:charset w:val="86"/>
    <w:family w:val="auto"/>
    <w:pitch w:val="default"/>
    <w:sig w:usb0="A00002BF" w:usb1="38CF7CFA" w:usb2="00000016" w:usb3="00000000" w:csb0="00040001" w:csb1="00000000"/>
    <w:embedRegular r:id="rId2" w:fontKey="{4649981E-92AD-49A7-ACB0-32AB723B64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3F"/>
    <w:rsid w:val="00015215"/>
    <w:rsid w:val="00050A5D"/>
    <w:rsid w:val="0008533B"/>
    <w:rsid w:val="00095E94"/>
    <w:rsid w:val="000A273C"/>
    <w:rsid w:val="000D14A7"/>
    <w:rsid w:val="000D52BE"/>
    <w:rsid w:val="000F3D57"/>
    <w:rsid w:val="00112BF0"/>
    <w:rsid w:val="00132B9E"/>
    <w:rsid w:val="00134A02"/>
    <w:rsid w:val="001B2994"/>
    <w:rsid w:val="001F30BB"/>
    <w:rsid w:val="00206E20"/>
    <w:rsid w:val="00207591"/>
    <w:rsid w:val="00210DC6"/>
    <w:rsid w:val="002776B8"/>
    <w:rsid w:val="002C4D21"/>
    <w:rsid w:val="00336D1B"/>
    <w:rsid w:val="00340635"/>
    <w:rsid w:val="003524C5"/>
    <w:rsid w:val="003A4746"/>
    <w:rsid w:val="003C1E89"/>
    <w:rsid w:val="003E7DC1"/>
    <w:rsid w:val="003F14DF"/>
    <w:rsid w:val="00434C54"/>
    <w:rsid w:val="00475091"/>
    <w:rsid w:val="004A760F"/>
    <w:rsid w:val="004B0694"/>
    <w:rsid w:val="004D5674"/>
    <w:rsid w:val="004F5E27"/>
    <w:rsid w:val="00502F3A"/>
    <w:rsid w:val="0051453F"/>
    <w:rsid w:val="0057739C"/>
    <w:rsid w:val="0058607D"/>
    <w:rsid w:val="00590045"/>
    <w:rsid w:val="00592790"/>
    <w:rsid w:val="00596F44"/>
    <w:rsid w:val="005A6482"/>
    <w:rsid w:val="005A78DA"/>
    <w:rsid w:val="005B35F7"/>
    <w:rsid w:val="005E6E22"/>
    <w:rsid w:val="00646AB2"/>
    <w:rsid w:val="006643D2"/>
    <w:rsid w:val="0068035B"/>
    <w:rsid w:val="0069332A"/>
    <w:rsid w:val="006A5663"/>
    <w:rsid w:val="006E7E53"/>
    <w:rsid w:val="0070027D"/>
    <w:rsid w:val="0077751F"/>
    <w:rsid w:val="007C7741"/>
    <w:rsid w:val="00814B89"/>
    <w:rsid w:val="00823168"/>
    <w:rsid w:val="008346A7"/>
    <w:rsid w:val="008364A8"/>
    <w:rsid w:val="008569BB"/>
    <w:rsid w:val="0088037D"/>
    <w:rsid w:val="008822D8"/>
    <w:rsid w:val="00893536"/>
    <w:rsid w:val="008A1D07"/>
    <w:rsid w:val="008D0FE9"/>
    <w:rsid w:val="0092277F"/>
    <w:rsid w:val="009727FA"/>
    <w:rsid w:val="009D4653"/>
    <w:rsid w:val="009F7531"/>
    <w:rsid w:val="00A16212"/>
    <w:rsid w:val="00A55DA3"/>
    <w:rsid w:val="00A756DC"/>
    <w:rsid w:val="00A842D3"/>
    <w:rsid w:val="00AA7B04"/>
    <w:rsid w:val="00AB54B6"/>
    <w:rsid w:val="00AB7FD2"/>
    <w:rsid w:val="00AC3C6B"/>
    <w:rsid w:val="00AE0F8A"/>
    <w:rsid w:val="00AE6942"/>
    <w:rsid w:val="00AE71D4"/>
    <w:rsid w:val="00B14CBB"/>
    <w:rsid w:val="00B34998"/>
    <w:rsid w:val="00B75734"/>
    <w:rsid w:val="00BA1EE8"/>
    <w:rsid w:val="00BA3BE5"/>
    <w:rsid w:val="00BB049D"/>
    <w:rsid w:val="00C15DBD"/>
    <w:rsid w:val="00C61430"/>
    <w:rsid w:val="00C83971"/>
    <w:rsid w:val="00CD0701"/>
    <w:rsid w:val="00CF3916"/>
    <w:rsid w:val="00D21F63"/>
    <w:rsid w:val="00D24641"/>
    <w:rsid w:val="00D325AE"/>
    <w:rsid w:val="00D614C4"/>
    <w:rsid w:val="00D711B8"/>
    <w:rsid w:val="00D8628B"/>
    <w:rsid w:val="00DC37CA"/>
    <w:rsid w:val="00DD2E2E"/>
    <w:rsid w:val="00E543AC"/>
    <w:rsid w:val="00E60408"/>
    <w:rsid w:val="00E73211"/>
    <w:rsid w:val="00E86B15"/>
    <w:rsid w:val="00E91466"/>
    <w:rsid w:val="00E91A69"/>
    <w:rsid w:val="00EC648B"/>
    <w:rsid w:val="00EE0A0A"/>
    <w:rsid w:val="00F427B4"/>
    <w:rsid w:val="00F61473"/>
    <w:rsid w:val="00F81460"/>
    <w:rsid w:val="00F94F6D"/>
    <w:rsid w:val="00FA5370"/>
    <w:rsid w:val="00FC0287"/>
    <w:rsid w:val="00FC090C"/>
    <w:rsid w:val="00FC47FF"/>
    <w:rsid w:val="00FC4C17"/>
    <w:rsid w:val="070E0882"/>
    <w:rsid w:val="0AE61B6F"/>
    <w:rsid w:val="15AF6197"/>
    <w:rsid w:val="169D401A"/>
    <w:rsid w:val="2FE24B61"/>
    <w:rsid w:val="332F1792"/>
    <w:rsid w:val="3872263A"/>
    <w:rsid w:val="3ADF5AC0"/>
    <w:rsid w:val="3F1D75B8"/>
    <w:rsid w:val="4CD55219"/>
    <w:rsid w:val="4F1D6B69"/>
    <w:rsid w:val="4F7D2F8E"/>
    <w:rsid w:val="50D61560"/>
    <w:rsid w:val="5FB70C17"/>
    <w:rsid w:val="68644930"/>
    <w:rsid w:val="6B000065"/>
    <w:rsid w:val="7D783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5"/>
    <w:semiHidden/>
    <w:qFormat/>
    <w:uiPriority w:val="9"/>
    <w:rPr>
      <w:rFonts w:cstheme="majorBidi"/>
      <w:color w:val="2F5597" w:themeColor="accent1" w:themeShade="BF"/>
      <w:sz w:val="28"/>
      <w:szCs w:val="28"/>
    </w:rPr>
  </w:style>
  <w:style w:type="character" w:customStyle="1" w:styleId="23">
    <w:name w:val="标题 5 字符"/>
    <w:basedOn w:val="17"/>
    <w:link w:val="6"/>
    <w:semiHidden/>
    <w:qFormat/>
    <w:uiPriority w:val="9"/>
    <w:rPr>
      <w:rFonts w:cstheme="majorBidi"/>
      <w:color w:val="2F5597" w:themeColor="accent1" w:themeShade="BF"/>
      <w:sz w:val="24"/>
      <w:szCs w:val="24"/>
    </w:rPr>
  </w:style>
  <w:style w:type="character" w:customStyle="1" w:styleId="24">
    <w:name w:val="标题 6 字符"/>
    <w:basedOn w:val="17"/>
    <w:link w:val="7"/>
    <w:semiHidden/>
    <w:qFormat/>
    <w:uiPriority w:val="9"/>
    <w:rPr>
      <w:rFonts w:cstheme="majorBidi"/>
      <w:b/>
      <w:bCs/>
      <w:color w:val="2F5597"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2157</Words>
  <Characters>2306</Characters>
  <Lines>13</Lines>
  <Paragraphs>3</Paragraphs>
  <TotalTime>0</TotalTime>
  <ScaleCrop>false</ScaleCrop>
  <LinksUpToDate>false</LinksUpToDate>
  <CharactersWithSpaces>2328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2026-03-16T03:32:00Z</dcterms:created>
  <dc:creator>sherry</dc:creator>
  <cp:lastModifiedBy>Smile</cp:lastModifiedBy>
  <dcterms:modified xsi:type="dcterms:W3CDTF">2026-03-19T00:36:06Z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D48E97F97FF844CBBF9B083836582D60_13</vt:lpwstr>
  </property>
  <property fmtid="{D5CDD505-2E9C-101B-9397-08002B2CF9AE}" pid="4" name="KSOTemplateDocerSaveRecord">
    <vt:lpwstr>eyJoZGlkIjoiZGYwOWJlNTY0ZjMwYjcyMmUwNzA2ODU0ZTFhMTk2YzMiLCJ1c2VySWQiOiI1MTIxODgyMzYifQ==</vt:lpwstr>
  </property>
</Properties>
</file>