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E305D">
      <w:pPr>
        <w:spacing w:line="360" w:lineRule="auto"/>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2026年数字营销微专业项目遴选说明</w:t>
      </w:r>
    </w:p>
    <w:p w14:paraId="7BD4EC41">
      <w:pPr>
        <w:spacing w:line="360" w:lineRule="auto"/>
        <w:rPr>
          <w:rFonts w:hint="eastAsia" w:ascii="宋体" w:hAnsi="宋体" w:eastAsia="宋体"/>
          <w:sz w:val="24"/>
          <w:szCs w:val="24"/>
        </w:rPr>
      </w:pPr>
    </w:p>
    <w:p w14:paraId="470455EF">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1.</w:t>
      </w:r>
      <w:r>
        <w:rPr>
          <w:rFonts w:hint="eastAsia" w:ascii="方正仿宋_GBK" w:hAnsi="方正仿宋_GBK" w:eastAsia="方正仿宋_GBK" w:cs="方正仿宋_GBK"/>
          <w:b/>
          <w:bCs/>
          <w:sz w:val="28"/>
          <w:szCs w:val="28"/>
        </w:rPr>
        <w:t>专业简介：</w:t>
      </w:r>
    </w:p>
    <w:p w14:paraId="1C73B0D3">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数字营销微专业紧跟数字经济与企业数字化转型风口，直击行业人才紧缺现状。本微专业融合市场营销、数据科学、传播学与AI、大数据技术，以 “数字技能+营销智慧”为核心，培养能做精准触达、高效转化、品牌运营的复合型实战人才。课程紧贴职场需求，助力快速上手、提升求职竞争力。毕业生可入职互联网企业、跨境电商、品牌方、数字营销机构等，胜任智能运营、营销分析、电商数据、社交媒体策略、AI 营销产品等热门岗位，实现高质量就业。</w:t>
      </w:r>
    </w:p>
    <w:p w14:paraId="08EA33FB">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2.</w:t>
      </w:r>
      <w:r>
        <w:rPr>
          <w:rFonts w:hint="eastAsia" w:ascii="方正仿宋_GBK" w:hAnsi="方正仿宋_GBK" w:eastAsia="方正仿宋_GBK" w:cs="方正仿宋_GBK"/>
          <w:b/>
          <w:bCs/>
          <w:sz w:val="28"/>
          <w:szCs w:val="28"/>
        </w:rPr>
        <w:t>培养特色：</w:t>
      </w:r>
    </w:p>
    <w:p w14:paraId="52CA72BD">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数字营销微专业以跨学科融合为底色，构建“技术+创意+策略”复合型培养体系，聚焦AIGC、数据洞察、智能投放、IP与直播电商等产业前沿，课程动态迭代、紧贴行业需求。推行校企协同、场景化实战教学，由校内导师与企业专家联合指导，实现学用无缝对接。建立课赛融合机制，对接挑战杯、互联网+、大广赛等全国高水平赛事，以赛促学、以赛提能。相比主修专业，本专业轻量化、重实战、强技能，助力学生在原有专业基础上快速补齐数字营销核心能力，形成差异化竞争优势，更好适配数字化就业与创业需求。</w:t>
      </w:r>
    </w:p>
    <w:p w14:paraId="57DBE4FF">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3.</w:t>
      </w:r>
      <w:r>
        <w:rPr>
          <w:rFonts w:hint="eastAsia" w:ascii="方正仿宋_GBK" w:hAnsi="方正仿宋_GBK" w:eastAsia="方正仿宋_GBK" w:cs="方正仿宋_GBK"/>
          <w:b/>
          <w:bCs/>
          <w:sz w:val="28"/>
          <w:szCs w:val="28"/>
        </w:rPr>
        <w:t>师资力量：</w:t>
      </w:r>
    </w:p>
    <w:p w14:paraId="3BA09E72">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核心教学团队由经济与管理学院8位专业教师和2位企业实战导师组成，覆盖市场营销、数据科学、传播学、AI技术等领域，兼具深厚学术功底与一线操盘经验。团队聚焦AIGC、智能投放、电商运营、IP营销等前沿方向，以产学研协同保障教学质量与实战能力。8位专业教师中教授2名、副教授3名、讲师3名。</w:t>
      </w:r>
    </w:p>
    <w:p w14:paraId="0C7A7C2F">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4.</w:t>
      </w:r>
      <w:r>
        <w:rPr>
          <w:rFonts w:hint="eastAsia" w:ascii="方正仿宋_GBK" w:hAnsi="方正仿宋_GBK" w:eastAsia="方正仿宋_GBK" w:cs="方正仿宋_GBK"/>
          <w:b/>
          <w:bCs/>
          <w:sz w:val="28"/>
          <w:szCs w:val="28"/>
        </w:rPr>
        <w:t>课程设置：</w:t>
      </w:r>
    </w:p>
    <w:p w14:paraId="1BEB4778">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本微专业设置4门核心课程，即AIGC内容营销、直播与短视频营销、IP营销、用户洞察与AI智能投放。课程计划表如表1。</w:t>
      </w:r>
    </w:p>
    <w:p w14:paraId="01DDE692">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表1：数字营销微专业课程计划表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715"/>
        <w:gridCol w:w="2110"/>
        <w:gridCol w:w="1032"/>
        <w:gridCol w:w="1213"/>
        <w:gridCol w:w="1503"/>
        <w:gridCol w:w="777"/>
      </w:tblGrid>
      <w:tr w14:paraId="434C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14:paraId="0AF6C316">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课程名称</w:t>
            </w:r>
          </w:p>
        </w:tc>
        <w:tc>
          <w:tcPr>
            <w:tcW w:w="501" w:type="pct"/>
          </w:tcPr>
          <w:p w14:paraId="37A6D2F2">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学分/学时</w:t>
            </w:r>
          </w:p>
        </w:tc>
        <w:tc>
          <w:tcPr>
            <w:tcW w:w="1419" w:type="pct"/>
          </w:tcPr>
          <w:p w14:paraId="15F77159">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核心内容</w:t>
            </w:r>
          </w:p>
        </w:tc>
        <w:tc>
          <w:tcPr>
            <w:tcW w:w="750" w:type="pct"/>
          </w:tcPr>
          <w:p w14:paraId="50C4183B">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教学方式</w:t>
            </w:r>
          </w:p>
        </w:tc>
        <w:tc>
          <w:tcPr>
            <w:tcW w:w="501" w:type="pct"/>
          </w:tcPr>
          <w:p w14:paraId="0DE2726B">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考核方式</w:t>
            </w:r>
          </w:p>
        </w:tc>
        <w:tc>
          <w:tcPr>
            <w:tcW w:w="500" w:type="pct"/>
          </w:tcPr>
          <w:p w14:paraId="5CA8AE8F">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开课学期</w:t>
            </w:r>
          </w:p>
        </w:tc>
        <w:tc>
          <w:tcPr>
            <w:tcW w:w="498" w:type="pct"/>
          </w:tcPr>
          <w:p w14:paraId="5C2FBE8B">
            <w:pPr>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任课教师</w:t>
            </w:r>
          </w:p>
        </w:tc>
      </w:tr>
      <w:tr w14:paraId="7A77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14:paraId="5B1A597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AIGC内容营销</w:t>
            </w:r>
          </w:p>
        </w:tc>
        <w:tc>
          <w:tcPr>
            <w:tcW w:w="501" w:type="pct"/>
          </w:tcPr>
          <w:p w14:paraId="1CE832B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2/32</w:t>
            </w:r>
          </w:p>
        </w:tc>
        <w:tc>
          <w:tcPr>
            <w:tcW w:w="1419" w:type="pct"/>
          </w:tcPr>
          <w:p w14:paraId="12EE0DDE">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课程聚焦 AIGC 技术与营销场景的深度融合，包括AIGC技术生态、多模态营销内容生成、内容智能分发策略、伦理评估四大模块。</w:t>
            </w:r>
          </w:p>
        </w:tc>
        <w:tc>
          <w:tcPr>
            <w:tcW w:w="750" w:type="pct"/>
          </w:tcPr>
          <w:p w14:paraId="5196B56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理论讲授、案例分析、实训任务、企业参观或实习</w:t>
            </w:r>
          </w:p>
        </w:tc>
        <w:tc>
          <w:tcPr>
            <w:tcW w:w="501" w:type="pct"/>
          </w:tcPr>
          <w:p w14:paraId="1DB9C2E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平时参与（20%）+实训任务一（40%）+实训任务二（40%）</w:t>
            </w:r>
          </w:p>
        </w:tc>
        <w:tc>
          <w:tcPr>
            <w:tcW w:w="500" w:type="pct"/>
          </w:tcPr>
          <w:p w14:paraId="41494BE2">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2026-2027学年第一学期</w:t>
            </w:r>
          </w:p>
        </w:tc>
        <w:tc>
          <w:tcPr>
            <w:tcW w:w="498" w:type="pct"/>
          </w:tcPr>
          <w:p w14:paraId="4192832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何晓兵、姚若辉</w:t>
            </w:r>
          </w:p>
        </w:tc>
      </w:tr>
      <w:tr w14:paraId="4AB3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14:paraId="61DD8CC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直播与短视频营销</w:t>
            </w:r>
          </w:p>
        </w:tc>
        <w:tc>
          <w:tcPr>
            <w:tcW w:w="501" w:type="pct"/>
          </w:tcPr>
          <w:p w14:paraId="0B6EBDE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2/32</w:t>
            </w:r>
          </w:p>
        </w:tc>
        <w:tc>
          <w:tcPr>
            <w:tcW w:w="1419" w:type="pct"/>
          </w:tcPr>
          <w:p w14:paraId="3279352B">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课程以“短视频或直播内容创作—流量获取—转化变现”为逻辑，涵盖短视频与直播生态与平台算法、脚本策划、拍摄剪辑、发布、数据复盘与优化等内容。</w:t>
            </w:r>
          </w:p>
        </w:tc>
        <w:tc>
          <w:tcPr>
            <w:tcW w:w="750" w:type="pct"/>
          </w:tcPr>
          <w:p w14:paraId="6EF9871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理论讲授、案例分析、实训任务、企业专题讲座或参观</w:t>
            </w:r>
          </w:p>
        </w:tc>
        <w:tc>
          <w:tcPr>
            <w:tcW w:w="501" w:type="pct"/>
          </w:tcPr>
          <w:p w14:paraId="75BF65D9">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平时参与（20%）+实训任务一（40%）+实训任务二（40%）</w:t>
            </w:r>
          </w:p>
        </w:tc>
        <w:tc>
          <w:tcPr>
            <w:tcW w:w="500" w:type="pct"/>
          </w:tcPr>
          <w:p w14:paraId="3F644BB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2026-2027学年第一学期</w:t>
            </w:r>
          </w:p>
        </w:tc>
        <w:tc>
          <w:tcPr>
            <w:tcW w:w="498" w:type="pct"/>
          </w:tcPr>
          <w:p w14:paraId="0739F3C6">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何杨平、张凤超</w:t>
            </w:r>
          </w:p>
        </w:tc>
      </w:tr>
      <w:tr w14:paraId="393B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14:paraId="569A5B1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IP营销</w:t>
            </w:r>
          </w:p>
        </w:tc>
        <w:tc>
          <w:tcPr>
            <w:tcW w:w="501" w:type="pct"/>
          </w:tcPr>
          <w:p w14:paraId="7AA6961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2/32</w:t>
            </w:r>
          </w:p>
        </w:tc>
        <w:tc>
          <w:tcPr>
            <w:tcW w:w="1419" w:type="pct"/>
          </w:tcPr>
          <w:p w14:paraId="63D9DF4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课程旨在构建“定位—内容—运营—变现”认知体系，系统讲解品牌IP、个人IP及产品IP的打造逻辑与运营策略。</w:t>
            </w:r>
          </w:p>
        </w:tc>
        <w:tc>
          <w:tcPr>
            <w:tcW w:w="750" w:type="pct"/>
          </w:tcPr>
          <w:p w14:paraId="385793A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理论讲授、案例分析、实训任务、企业专题讲座或参观</w:t>
            </w:r>
          </w:p>
        </w:tc>
        <w:tc>
          <w:tcPr>
            <w:tcW w:w="501" w:type="pct"/>
          </w:tcPr>
          <w:p w14:paraId="12C8B7A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平时参与（20%）+实训任务一（40%）+实训任务二（40%）</w:t>
            </w:r>
          </w:p>
        </w:tc>
        <w:tc>
          <w:tcPr>
            <w:tcW w:w="500" w:type="pct"/>
          </w:tcPr>
          <w:p w14:paraId="21635140">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2026-2027学年第二学期</w:t>
            </w:r>
          </w:p>
        </w:tc>
        <w:tc>
          <w:tcPr>
            <w:tcW w:w="498" w:type="pct"/>
          </w:tcPr>
          <w:p w14:paraId="6249B111">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宗乾进、唐晓东</w:t>
            </w:r>
          </w:p>
        </w:tc>
      </w:tr>
      <w:tr w14:paraId="3419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pct"/>
          </w:tcPr>
          <w:p w14:paraId="2F9EE245">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用户洞察与 AI智能投放</w:t>
            </w:r>
          </w:p>
        </w:tc>
        <w:tc>
          <w:tcPr>
            <w:tcW w:w="501" w:type="pct"/>
          </w:tcPr>
          <w:p w14:paraId="7D5B30AD">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2/32</w:t>
            </w:r>
          </w:p>
        </w:tc>
        <w:tc>
          <w:tcPr>
            <w:tcW w:w="1419" w:type="pct"/>
          </w:tcPr>
          <w:p w14:paraId="2E67653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课程聚焦于用户洞察与AI智能投放的深度融合，构建用户画像与挖掘深层行为动机，实现AI智能投放优化。</w:t>
            </w:r>
          </w:p>
        </w:tc>
        <w:tc>
          <w:tcPr>
            <w:tcW w:w="750" w:type="pct"/>
          </w:tcPr>
          <w:p w14:paraId="4FA2DF4C">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理论讲授、案例分析、实训任务、企业参观或实习</w:t>
            </w:r>
          </w:p>
        </w:tc>
        <w:tc>
          <w:tcPr>
            <w:tcW w:w="501" w:type="pct"/>
          </w:tcPr>
          <w:p w14:paraId="365D4B2A">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平时参与（20%）+实训任务一（40%）+实训任务二（40%）</w:t>
            </w:r>
          </w:p>
        </w:tc>
        <w:tc>
          <w:tcPr>
            <w:tcW w:w="500" w:type="pct"/>
          </w:tcPr>
          <w:p w14:paraId="0866DA7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2026-2027学年第二学期</w:t>
            </w:r>
          </w:p>
        </w:tc>
        <w:tc>
          <w:tcPr>
            <w:tcW w:w="498" w:type="pct"/>
          </w:tcPr>
          <w:p w14:paraId="099BBF3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王雅丽、李志义</w:t>
            </w:r>
          </w:p>
        </w:tc>
      </w:tr>
    </w:tbl>
    <w:p w14:paraId="13472188">
      <w:pPr>
        <w:spacing w:line="360" w:lineRule="auto"/>
        <w:rPr>
          <w:rFonts w:hint="eastAsia" w:ascii="方正仿宋_GBK" w:hAnsi="方正仿宋_GBK" w:eastAsia="方正仿宋_GBK" w:cs="方正仿宋_GBK"/>
          <w:sz w:val="28"/>
          <w:szCs w:val="28"/>
        </w:rPr>
      </w:pPr>
    </w:p>
    <w:p w14:paraId="43BFA8E8">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5.</w:t>
      </w:r>
      <w:r>
        <w:rPr>
          <w:rFonts w:hint="eastAsia" w:ascii="方正仿宋_GBK" w:hAnsi="方正仿宋_GBK" w:eastAsia="方正仿宋_GBK" w:cs="方正仿宋_GBK"/>
          <w:b/>
          <w:bCs/>
          <w:sz w:val="28"/>
          <w:szCs w:val="28"/>
        </w:rPr>
        <w:t>招生对象与报名要求：</w:t>
      </w:r>
    </w:p>
    <w:p w14:paraId="2C218815">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本校2023级、2024级、2025级全日制本科生，专业不限。 </w:t>
      </w:r>
    </w:p>
    <w:p w14:paraId="1A99095C">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6.</w:t>
      </w:r>
      <w:r>
        <w:rPr>
          <w:rFonts w:hint="eastAsia" w:ascii="方正仿宋_GBK" w:hAnsi="方正仿宋_GBK" w:eastAsia="方正仿宋_GBK" w:cs="方正仿宋_GBK"/>
          <w:b/>
          <w:bCs/>
          <w:sz w:val="28"/>
          <w:szCs w:val="28"/>
        </w:rPr>
        <w:t>报名方式与报名时间：</w:t>
      </w:r>
    </w:p>
    <w:p w14:paraId="1D6E5E08">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详情见学校《关于2026年微专业修读项目宣传及学生遴选工作的通知》。</w:t>
      </w:r>
    </w:p>
    <w:p w14:paraId="31C65FF6">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7.</w:t>
      </w:r>
      <w:r>
        <w:rPr>
          <w:rFonts w:hint="eastAsia" w:ascii="方正仿宋_GBK" w:hAnsi="方正仿宋_GBK" w:eastAsia="方正仿宋_GBK" w:cs="方正仿宋_GBK"/>
          <w:b/>
          <w:bCs/>
          <w:sz w:val="28"/>
          <w:szCs w:val="28"/>
        </w:rPr>
        <w:t>宣讲互动方式、时间、地点：</w:t>
      </w:r>
    </w:p>
    <w:p w14:paraId="2E1A0890">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具体安排请留意后续通知。</w:t>
      </w:r>
    </w:p>
    <w:p w14:paraId="0B619EA1">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8.</w:t>
      </w:r>
      <w:r>
        <w:rPr>
          <w:rFonts w:hint="eastAsia" w:ascii="方正仿宋_GBK" w:hAnsi="方正仿宋_GBK" w:eastAsia="方正仿宋_GBK" w:cs="方正仿宋_GBK"/>
          <w:b/>
          <w:bCs/>
          <w:sz w:val="28"/>
          <w:szCs w:val="28"/>
        </w:rPr>
        <w:t>遴选方式、时间、地点：</w:t>
      </w:r>
    </w:p>
    <w:p w14:paraId="37C743DF">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遴选方式采用“材料审核+综合评分”方式。学生提交报名表、已有成绩单、简历（包括申请本微专业的动机和未来规划），教学团队对学生提交的材料进行审核和综合评分，择优录取。</w:t>
      </w:r>
    </w:p>
    <w:p w14:paraId="434E29D2">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9.</w:t>
      </w:r>
      <w:r>
        <w:rPr>
          <w:rFonts w:hint="eastAsia" w:ascii="方正仿宋_GBK" w:hAnsi="方正仿宋_GBK" w:eastAsia="方正仿宋_GBK" w:cs="方正仿宋_GBK"/>
          <w:b/>
          <w:bCs/>
          <w:sz w:val="28"/>
          <w:szCs w:val="28"/>
        </w:rPr>
        <w:t>教学安排：</w:t>
      </w:r>
    </w:p>
    <w:p w14:paraId="72838764">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2026-2027学年，周末集中上课，每门课安排4天，线上授课，线下企业参观或实习。</w:t>
      </w:r>
    </w:p>
    <w:p w14:paraId="1000E50D">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10.</w:t>
      </w:r>
      <w:r>
        <w:rPr>
          <w:rFonts w:hint="eastAsia" w:ascii="方正仿宋_GBK" w:hAnsi="方正仿宋_GBK" w:eastAsia="方正仿宋_GBK" w:cs="方正仿宋_GBK"/>
          <w:b/>
          <w:bCs/>
          <w:sz w:val="28"/>
          <w:szCs w:val="28"/>
        </w:rPr>
        <w:t>结业要求：</w:t>
      </w:r>
    </w:p>
    <w:p w14:paraId="3AEE0F2C">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学制1年，总学分8学分。在本微专业修满全部学分，经过经济与管理学院审核，并报本科生院审定后，可获得由本科生院和经济与管理学院统一颁发的微专业证书（证书不具备学位证书效力）。</w:t>
      </w:r>
    </w:p>
    <w:p w14:paraId="6777FEF0">
      <w:pPr>
        <w:numPr>
          <w:ilvl w:val="0"/>
          <w:numId w:val="0"/>
        </w:numPr>
        <w:spacing w:line="360" w:lineRule="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kern w:val="2"/>
          <w:sz w:val="28"/>
          <w:szCs w:val="28"/>
          <w:lang w:val="en-US" w:eastAsia="zh-CN" w:bidi="ar-SA"/>
        </w:rPr>
        <w:t>11.</w:t>
      </w:r>
      <w:r>
        <w:rPr>
          <w:rFonts w:hint="eastAsia" w:ascii="方正仿宋_GBK" w:hAnsi="方正仿宋_GBK" w:eastAsia="方正仿宋_GBK" w:cs="方正仿宋_GBK"/>
          <w:b/>
          <w:bCs/>
          <w:sz w:val="28"/>
          <w:szCs w:val="28"/>
        </w:rPr>
        <w:t>管理措施和要求：</w:t>
      </w:r>
    </w:p>
    <w:p w14:paraId="59C8F0F6">
      <w:pPr>
        <w:numPr>
          <w:ilvl w:val="0"/>
          <w:numId w:val="0"/>
        </w:num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修读本微专业的学生需按规定报名遴选。课程安排在周末，按培养方案修读，严格考勤与过程考核，遵守课堂与考核纪律。成绩合格方可取得学分。满足修读年限、修满规定学分并通过结业审核，方能获得本微专业结业证书。</w:t>
      </w:r>
    </w:p>
    <w:p w14:paraId="6D14349E">
      <w:pPr>
        <w:spacing w:line="360" w:lineRule="auto"/>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b/>
          <w:bCs/>
          <w:sz w:val="28"/>
          <w:szCs w:val="28"/>
        </w:rPr>
        <w:t>12.</w:t>
      </w:r>
      <w:r>
        <w:rPr>
          <w:rFonts w:hint="eastAsia" w:ascii="方正公文仿宋" w:hAnsi="方正公文仿宋" w:eastAsia="方正公文仿宋" w:cs="方正公文仿宋"/>
          <w:b/>
          <w:bCs/>
          <w:sz w:val="28"/>
          <w:szCs w:val="28"/>
          <w:lang w:val="en-US" w:eastAsia="zh-CN"/>
        </w:rPr>
        <w:t>联系人：</w:t>
      </w:r>
      <w:r>
        <w:rPr>
          <w:rFonts w:hint="eastAsia" w:ascii="方正公文仿宋" w:hAnsi="方正公文仿宋" w:eastAsia="方正公文仿宋" w:cs="方正公文仿宋"/>
          <w:sz w:val="28"/>
          <w:szCs w:val="28"/>
          <w:lang w:val="en-US" w:eastAsia="zh-CN"/>
        </w:rPr>
        <w:t>徐欣萌老师 020-39311159 邮箱：emjwb@126.com</w:t>
      </w:r>
    </w:p>
    <w:p w14:paraId="275BFAE6">
      <w:pPr>
        <w:spacing w:line="360" w:lineRule="auto"/>
        <w:ind w:firstLine="560" w:firstLineChars="200"/>
        <w:rPr>
          <w:rFonts w:hint="eastAsia" w:ascii="方正公文仿宋" w:hAnsi="方正公文仿宋" w:eastAsia="方正公文仿宋" w:cs="方正公文仿宋"/>
          <w:sz w:val="28"/>
          <w:szCs w:val="28"/>
          <w:lang w:val="en-US" w:eastAsia="zh-CN"/>
        </w:rPr>
      </w:pPr>
      <w:r>
        <w:rPr>
          <w:rFonts w:hint="eastAsia" w:ascii="方正公文仿宋" w:hAnsi="方正公文仿宋" w:eastAsia="方正公文仿宋" w:cs="方正公文仿宋"/>
          <w:sz w:val="28"/>
          <w:szCs w:val="28"/>
          <w:lang w:val="en-US" w:eastAsia="zh-CN"/>
        </w:rPr>
        <w:t xml:space="preserve">       陈娜老师   020-39310072  </w:t>
      </w:r>
    </w:p>
    <w:p w14:paraId="5FFA2C3F">
      <w:pPr>
        <w:widowControl/>
        <w:spacing w:line="360" w:lineRule="auto"/>
        <w:rPr>
          <w:rFonts w:hint="eastAsia" w:ascii="方正公文仿宋" w:hAnsi="方正公文仿宋" w:eastAsia="方正公文仿宋" w:cs="方正公文仿宋"/>
          <w:b/>
          <w:bCs/>
          <w:color w:val="000000"/>
          <w:kern w:val="0"/>
          <w:sz w:val="28"/>
          <w:szCs w:val="28"/>
          <w:lang w:eastAsia="zh-CN" w:bidi="ar"/>
        </w:rPr>
      </w:pPr>
      <w:r>
        <w:rPr>
          <w:rFonts w:hint="eastAsia" w:ascii="方正公文仿宋" w:hAnsi="方正公文仿宋" w:eastAsia="方正公文仿宋" w:cs="方正公文仿宋"/>
          <w:b/>
          <w:bCs/>
          <w:color w:val="000000"/>
          <w:kern w:val="0"/>
          <w:sz w:val="28"/>
          <w:szCs w:val="28"/>
          <w:lang w:val="en-US" w:eastAsia="zh-CN" w:bidi="ar"/>
        </w:rPr>
        <w:t>13.</w:t>
      </w:r>
      <w:r>
        <w:rPr>
          <w:rFonts w:hint="eastAsia" w:ascii="方正公文仿宋" w:hAnsi="方正公文仿宋" w:eastAsia="方正公文仿宋" w:cs="方正公文仿宋"/>
          <w:b/>
          <w:bCs/>
          <w:color w:val="000000"/>
          <w:kern w:val="0"/>
          <w:sz w:val="28"/>
          <w:szCs w:val="28"/>
          <w:lang w:bidi="ar"/>
        </w:rPr>
        <w:t>其他</w:t>
      </w:r>
      <w:r>
        <w:rPr>
          <w:rFonts w:hint="eastAsia" w:ascii="方正公文仿宋" w:hAnsi="方正公文仿宋" w:eastAsia="方正公文仿宋" w:cs="方正公文仿宋"/>
          <w:b/>
          <w:bCs/>
          <w:color w:val="000000"/>
          <w:kern w:val="0"/>
          <w:sz w:val="28"/>
          <w:szCs w:val="28"/>
          <w:lang w:eastAsia="zh-CN" w:bidi="ar"/>
        </w:rPr>
        <w:t>：</w:t>
      </w:r>
    </w:p>
    <w:p w14:paraId="6E1960EE">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本微专业为学校 “双千” 计划立项微专业，办学条件完善，拥有省级以上实验实践教学平台、校企共建实习基地等优质资源，全方位保障教学质量与实践体验。</w:t>
      </w:r>
    </w:p>
    <w:p w14:paraId="7B6A0D50">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拟录取学生名单由学院审核后报学校本科生院备案，备案通过后方可正式修读；若招生过程中出现系统问题，可及时向学院教务员反馈。</w:t>
      </w:r>
    </w:p>
    <w:p w14:paraId="4FF84442">
      <w:pPr>
        <w:spacing w:line="360" w:lineRule="auto"/>
        <w:ind w:firstLine="560" w:firstLineChars="200"/>
        <w:rPr>
          <w:rFonts w:hint="eastAsia" w:ascii="方正公文仿宋" w:hAnsi="方正公文仿宋" w:eastAsia="方正公文仿宋" w:cs="方正公文仿宋"/>
          <w:sz w:val="28"/>
          <w:szCs w:val="28"/>
        </w:rPr>
      </w:pPr>
      <w:r>
        <w:rPr>
          <w:rFonts w:hint="eastAsia" w:ascii="方正公文仿宋" w:hAnsi="方正公文仿宋" w:eastAsia="方正公文仿宋" w:cs="方正公文仿宋"/>
          <w:sz w:val="28"/>
          <w:szCs w:val="28"/>
        </w:rPr>
        <w:t>本遴选说明最终解释权归华南师范大学经济与管理学院及本科生院所有，未尽事宜请以学校及学院后续官方通知为准。</w:t>
      </w:r>
    </w:p>
    <w:p w14:paraId="0637A0E7">
      <w:pPr>
        <w:spacing w:line="360" w:lineRule="auto"/>
        <w:rPr>
          <w:rFonts w:hint="eastAsia" w:ascii="方正仿宋_GBK" w:hAnsi="方正仿宋_GBK" w:eastAsia="方正仿宋_GBK" w:cs="方正仿宋_GBK"/>
          <w:b/>
          <w:bCs/>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1" w:fontKey="{4C912D0F-B1CB-4796-8636-101A98999F97}"/>
  </w:font>
  <w:font w:name="方正仿宋_GBK">
    <w:panose1 w:val="02000000000000000000"/>
    <w:charset w:val="86"/>
    <w:family w:val="auto"/>
    <w:pitch w:val="default"/>
    <w:sig w:usb0="A00002BF" w:usb1="38CF7CFA" w:usb2="00082016" w:usb3="00000000" w:csb0="00040001" w:csb1="00000000"/>
    <w:embedRegular r:id="rId2" w:fontKey="{4BDE2040-8F06-4443-9023-83F09F069116}"/>
  </w:font>
  <w:font w:name="方正公文仿宋">
    <w:panose1 w:val="02000500000000000000"/>
    <w:charset w:val="86"/>
    <w:family w:val="auto"/>
    <w:pitch w:val="default"/>
    <w:sig w:usb0="A00002BF" w:usb1="38CF7CFA" w:usb2="00000016" w:usb3="00000000" w:csb0="00040001" w:csb1="00000000"/>
    <w:embedRegular r:id="rId3" w:fontKey="{5EC744F6-F6A5-463F-90EA-CE0CE0007FD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3F"/>
    <w:rsid w:val="00015215"/>
    <w:rsid w:val="00050A5D"/>
    <w:rsid w:val="0008533B"/>
    <w:rsid w:val="00095E94"/>
    <w:rsid w:val="000A273C"/>
    <w:rsid w:val="000D14A7"/>
    <w:rsid w:val="000D52BE"/>
    <w:rsid w:val="000F3D57"/>
    <w:rsid w:val="00112BF0"/>
    <w:rsid w:val="00132B9E"/>
    <w:rsid w:val="00134A02"/>
    <w:rsid w:val="001B2994"/>
    <w:rsid w:val="001F30BB"/>
    <w:rsid w:val="00206E20"/>
    <w:rsid w:val="00207591"/>
    <w:rsid w:val="00210DC6"/>
    <w:rsid w:val="002776B8"/>
    <w:rsid w:val="002C4D21"/>
    <w:rsid w:val="00336D1B"/>
    <w:rsid w:val="00340635"/>
    <w:rsid w:val="003524C5"/>
    <w:rsid w:val="003A4746"/>
    <w:rsid w:val="003C1E89"/>
    <w:rsid w:val="003E7DC1"/>
    <w:rsid w:val="003F14DF"/>
    <w:rsid w:val="00434C54"/>
    <w:rsid w:val="00475091"/>
    <w:rsid w:val="004A760F"/>
    <w:rsid w:val="004B0694"/>
    <w:rsid w:val="004D5674"/>
    <w:rsid w:val="004F5E27"/>
    <w:rsid w:val="00502F3A"/>
    <w:rsid w:val="0051453F"/>
    <w:rsid w:val="0057739C"/>
    <w:rsid w:val="0058607D"/>
    <w:rsid w:val="00590045"/>
    <w:rsid w:val="00592790"/>
    <w:rsid w:val="00596F44"/>
    <w:rsid w:val="005A6482"/>
    <w:rsid w:val="005A78DA"/>
    <w:rsid w:val="005B35F7"/>
    <w:rsid w:val="005E6E22"/>
    <w:rsid w:val="00646AB2"/>
    <w:rsid w:val="006643D2"/>
    <w:rsid w:val="0068035B"/>
    <w:rsid w:val="0069332A"/>
    <w:rsid w:val="006A5663"/>
    <w:rsid w:val="006E7E53"/>
    <w:rsid w:val="0070027D"/>
    <w:rsid w:val="0077751F"/>
    <w:rsid w:val="007C7741"/>
    <w:rsid w:val="00814B89"/>
    <w:rsid w:val="00823168"/>
    <w:rsid w:val="008346A7"/>
    <w:rsid w:val="008364A8"/>
    <w:rsid w:val="008569BB"/>
    <w:rsid w:val="0088037D"/>
    <w:rsid w:val="008822D8"/>
    <w:rsid w:val="00893536"/>
    <w:rsid w:val="008A1D07"/>
    <w:rsid w:val="008D0FE9"/>
    <w:rsid w:val="0092277F"/>
    <w:rsid w:val="009727FA"/>
    <w:rsid w:val="009D4653"/>
    <w:rsid w:val="009F7531"/>
    <w:rsid w:val="00A16212"/>
    <w:rsid w:val="00A55DA3"/>
    <w:rsid w:val="00A756DC"/>
    <w:rsid w:val="00A842D3"/>
    <w:rsid w:val="00AA7B04"/>
    <w:rsid w:val="00AB54B6"/>
    <w:rsid w:val="00AB7FD2"/>
    <w:rsid w:val="00AC3C6B"/>
    <w:rsid w:val="00AE0F8A"/>
    <w:rsid w:val="00AE6942"/>
    <w:rsid w:val="00AE71D4"/>
    <w:rsid w:val="00B14CBB"/>
    <w:rsid w:val="00B34998"/>
    <w:rsid w:val="00B75734"/>
    <w:rsid w:val="00BA1EE8"/>
    <w:rsid w:val="00BA3BE5"/>
    <w:rsid w:val="00BB049D"/>
    <w:rsid w:val="00C15DBD"/>
    <w:rsid w:val="00C61430"/>
    <w:rsid w:val="00C83971"/>
    <w:rsid w:val="00CD0701"/>
    <w:rsid w:val="00CF3916"/>
    <w:rsid w:val="00D21F63"/>
    <w:rsid w:val="00D24641"/>
    <w:rsid w:val="00D325AE"/>
    <w:rsid w:val="00D614C4"/>
    <w:rsid w:val="00D711B8"/>
    <w:rsid w:val="00D8628B"/>
    <w:rsid w:val="00DC37CA"/>
    <w:rsid w:val="00DD2E2E"/>
    <w:rsid w:val="00E543AC"/>
    <w:rsid w:val="00E60408"/>
    <w:rsid w:val="00E73211"/>
    <w:rsid w:val="00E86B15"/>
    <w:rsid w:val="00E91466"/>
    <w:rsid w:val="00E91A69"/>
    <w:rsid w:val="00EC648B"/>
    <w:rsid w:val="00EE0A0A"/>
    <w:rsid w:val="00F427B4"/>
    <w:rsid w:val="00F61473"/>
    <w:rsid w:val="00F81460"/>
    <w:rsid w:val="00F94F6D"/>
    <w:rsid w:val="00FA5370"/>
    <w:rsid w:val="00FC0287"/>
    <w:rsid w:val="00FC090C"/>
    <w:rsid w:val="00FC47FF"/>
    <w:rsid w:val="00FC4C17"/>
    <w:rsid w:val="29E22B71"/>
    <w:rsid w:val="3F1D75B8"/>
    <w:rsid w:val="7220606F"/>
    <w:rsid w:val="7EA25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1649</Words>
  <Characters>1787</Characters>
  <Lines>13</Lines>
  <Paragraphs>3</Paragraphs>
  <TotalTime>0</TotalTime>
  <ScaleCrop>false</ScaleCrop>
  <LinksUpToDate>false</LinksUpToDate>
  <CharactersWithSpaces>1794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2026-03-16T03:32:00Z</dcterms:created>
  <dc:creator>sherry</dc:creator>
  <cp:lastModifiedBy>Smile</cp:lastModifiedBy>
  <dcterms:modified xsi:type="dcterms:W3CDTF">2026-03-18T07:00:28Z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3EC2FCCA976D46E49D91433E706C8CA4_13</vt:lpwstr>
  </property>
  <property fmtid="{D5CDD505-2E9C-101B-9397-08002B2CF9AE}" pid="4" name="KSOTemplateDocerSaveRecord">
    <vt:lpwstr>eyJoZGlkIjoiZGYwOWJlNTY0ZjMwYjcyMmUwNzA2ODU0ZTFhMTk2YzMiLCJ1c2VySWQiOiI1MTIxODgyMzYifQ==</vt:lpwstr>
  </property>
</Properties>
</file>