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widowControl/>
        <w:spacing w:line="540" w:lineRule="exact"/>
        <w:jc w:val="left"/>
      </w:pP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bookmarkStart w:id="1" w:name="_GoBack"/>
      <w:r>
        <w:rPr>
          <w:rFonts w:hint="eastAsia" w:ascii="方正小标宋简体" w:hAnsi="Calibri" w:eastAsia="方正小标宋简体"/>
          <w:sz w:val="44"/>
          <w:szCs w:val="44"/>
        </w:rPr>
        <w:t>创业大赛“青年红色筑梦之旅”活动方案</w:t>
      </w:r>
    </w:p>
    <w:bookmarkEnd w:id="1"/>
    <w:p>
      <w:pPr>
        <w:snapToGrid w:val="0"/>
        <w:spacing w:line="540" w:lineRule="exact"/>
        <w:jc w:val="center"/>
        <w:rPr>
          <w:rFonts w:ascii="仿宋_GB2312" w:hAnsi="Calibri" w:eastAsia="仿宋_GB2312"/>
          <w:sz w:val="32"/>
          <w:szCs w:val="36"/>
        </w:rPr>
      </w:pP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第七届中国国际“互联网</w:t>
      </w:r>
      <w:r>
        <w:rPr>
          <w:rFonts w:ascii="仿宋_GB2312" w:hAnsi="仿宋" w:eastAsia="仿宋_GB2312"/>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sz w:val="32"/>
          <w:szCs w:val="32"/>
        </w:rPr>
      </w:pPr>
      <w:r>
        <w:rPr>
          <w:rFonts w:hint="eastAsia" w:ascii="仿宋_GB2312" w:hAnsi="仿宋" w:eastAsia="仿宋_GB2312"/>
          <w:sz w:val="32"/>
          <w:szCs w:val="32"/>
        </w:rPr>
        <w:t>青春领航乡村振兴红色筑梦创业人生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深入贯彻落实习近平总书记给第三届中国“互联网</w:t>
      </w:r>
      <w:r>
        <w:rPr>
          <w:rFonts w:ascii="仿宋_GB2312" w:hAnsi="仿宋" w:eastAsia="仿宋_GB2312"/>
          <w:sz w:val="32"/>
          <w:szCs w:val="32"/>
        </w:rPr>
        <w:t>+”大学生创新创业大赛“青年红色筑梦之旅”大学生</w:t>
      </w:r>
      <w:r>
        <w:rPr>
          <w:rFonts w:hint="eastAsia" w:ascii="仿宋_GB2312" w:hAnsi="仿宋" w:eastAsia="仿宋_GB2312"/>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（一）制定方案（</w:t>
      </w:r>
      <w:r>
        <w:rPr>
          <w:rFonts w:ascii="楷体_GB2312" w:hAnsi="仿宋" w:eastAsia="楷体_GB2312"/>
          <w:bCs/>
          <w:sz w:val="32"/>
          <w:szCs w:val="32"/>
        </w:rPr>
        <w:t>2021年4</w:t>
      </w:r>
      <w:r>
        <w:rPr>
          <w:rFonts w:hint="eastAsia" w:ascii="楷体_GB2312" w:hAnsi="仿宋" w:eastAsia="楷体_GB2312"/>
          <w:bCs/>
          <w:sz w:val="32"/>
          <w:szCs w:val="32"/>
        </w:rPr>
        <w:t>月）</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各省级教育行政部门要聚焦乡村振兴，围绕“产业兴旺、生态宜居、乡风文明、治理有效、生活富裕”要求，结合革命老区等地方实际需求，制定本地</w:t>
      </w:r>
      <w:r>
        <w:rPr>
          <w:rFonts w:ascii="仿宋_GB2312" w:hAnsi="仿宋" w:eastAsia="仿宋_GB2312"/>
          <w:sz w:val="32"/>
          <w:szCs w:val="32"/>
        </w:rPr>
        <w:t>2021年“青年红色筑梦之旅”活动方案</w:t>
      </w:r>
      <w:r>
        <w:rPr>
          <w:rFonts w:hint="eastAsia" w:ascii="仿宋_GB2312" w:hAnsi="仿宋" w:eastAsia="仿宋_GB2312"/>
          <w:sz w:val="32"/>
          <w:szCs w:val="32"/>
        </w:rPr>
        <w:t>，</w:t>
      </w:r>
      <w:r>
        <w:rPr>
          <w:rFonts w:ascii="仿宋_GB2312" w:hAnsi="仿宋" w:eastAsia="仿宋_GB2312"/>
          <w:sz w:val="32"/>
          <w:szCs w:val="32"/>
        </w:rPr>
        <w:t>要明确活动时间、地点、规模、形式、支持条件等内容，</w:t>
      </w:r>
      <w:r>
        <w:rPr>
          <w:rFonts w:hint="eastAsia" w:ascii="仿宋_GB2312" w:hAnsi="仿宋" w:eastAsia="仿宋_GB2312"/>
          <w:sz w:val="32"/>
          <w:szCs w:val="32"/>
        </w:rPr>
        <w:t>并</w:t>
      </w:r>
      <w:r>
        <w:rPr>
          <w:rFonts w:ascii="仿宋_GB2312" w:hAnsi="仿宋" w:eastAsia="仿宋_GB2312"/>
          <w:sz w:val="32"/>
          <w:szCs w:val="32"/>
        </w:rPr>
        <w:t>于4</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日前报送至大赛组委会。（电子邮箱：</w:t>
      </w:r>
      <w:r>
        <w:rPr>
          <w:rFonts w:ascii="仿宋_GB2312" w:hAnsi="仿宋" w:eastAsia="仿宋_GB2312"/>
          <w:sz w:val="32"/>
          <w:szCs w:val="32"/>
        </w:rPr>
        <w:t>internetplus@moe.edu.cn</w:t>
      </w:r>
      <w:r>
        <w:rPr>
          <w:rFonts w:hint="eastAsia" w:ascii="仿宋_GB2312" w:hAnsi="仿宋" w:eastAsia="仿宋_GB2312"/>
          <w:sz w:val="32"/>
          <w:szCs w:val="32"/>
        </w:rPr>
        <w:t>）。</w:t>
      </w:r>
    </w:p>
    <w:p>
      <w:pPr>
        <w:snapToGrid w:val="0"/>
        <w:spacing w:line="540" w:lineRule="exact"/>
        <w:ind w:firstLine="640" w:firstLineChars="200"/>
        <w:rPr>
          <w:rFonts w:ascii="Calibri" w:hAnsi="Calibri" w:eastAsia="楷体_GB2312"/>
          <w:bCs/>
          <w:sz w:val="32"/>
          <w:szCs w:val="32"/>
        </w:rPr>
      </w:pPr>
      <w:r>
        <w:rPr>
          <w:rFonts w:hint="eastAsia" w:ascii="楷体_GB2312" w:hAnsi="仿宋" w:eastAsia="楷体_GB2312"/>
          <w:bCs/>
          <w:sz w:val="32"/>
          <w:szCs w:val="32"/>
        </w:rPr>
        <w:t>（二）活动报名（</w:t>
      </w:r>
      <w:r>
        <w:rPr>
          <w:rFonts w:ascii="楷体_GB2312" w:hAnsi="仿宋" w:eastAsia="楷体_GB2312"/>
          <w:bCs/>
          <w:sz w:val="32"/>
          <w:szCs w:val="32"/>
        </w:rPr>
        <w:t>2021年4</w:t>
      </w:r>
      <w:r>
        <w:rPr>
          <w:rFonts w:hint="eastAsia" w:ascii="楷体_GB2312" w:hAnsi="仿宋" w:eastAsia="楷体_GB2312"/>
          <w:bCs/>
          <w:sz w:val="32"/>
          <w:szCs w:val="32"/>
        </w:rPr>
        <w:t>—</w:t>
      </w:r>
      <w:r>
        <w:rPr>
          <w:rFonts w:ascii="楷体_GB2312" w:hAnsi="仿宋" w:eastAsia="楷体_GB2312"/>
          <w:bCs/>
          <w:sz w:val="32"/>
          <w:szCs w:val="32"/>
        </w:rPr>
        <w:t>8月）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hAnsi="Calibri" w:eastAsia="仿宋_GB2312"/>
          <w:sz w:val="32"/>
          <w:szCs w:val="36"/>
        </w:rPr>
        <w:t>4</w:t>
      </w:r>
      <w:r>
        <w:rPr>
          <w:rFonts w:hint="eastAsia" w:ascii="仿宋_GB2312" w:hAnsi="Calibri" w:eastAsia="仿宋_GB2312"/>
          <w:sz w:val="32"/>
          <w:szCs w:val="36"/>
        </w:rPr>
        <w:t>月1</w:t>
      </w:r>
      <w:r>
        <w:rPr>
          <w:rFonts w:ascii="仿宋_GB2312" w:hAnsi="Calibri" w:eastAsia="仿宋_GB2312"/>
          <w:sz w:val="32"/>
          <w:szCs w:val="36"/>
        </w:rPr>
        <w:t>5</w:t>
      </w:r>
      <w:r>
        <w:rPr>
          <w:rFonts w:hint="eastAsia" w:ascii="仿宋_GB2312" w:hAnsi="Calibri" w:eastAsia="仿宋_GB2312"/>
          <w:sz w:val="32"/>
          <w:szCs w:val="36"/>
        </w:rPr>
        <w:t>日至8月1</w:t>
      </w:r>
      <w:r>
        <w:rPr>
          <w:rFonts w:ascii="仿宋_GB2312" w:hAnsi="Calibri" w:eastAsia="仿宋_GB2312"/>
          <w:sz w:val="32"/>
          <w:szCs w:val="36"/>
        </w:rPr>
        <w:t>5</w:t>
      </w:r>
      <w:r>
        <w:rPr>
          <w:rFonts w:hint="eastAsia" w:ascii="仿宋_GB2312" w:hAnsi="Calibri" w:eastAsia="仿宋_GB2312"/>
          <w:sz w:val="32"/>
          <w:szCs w:val="36"/>
        </w:rPr>
        <w:t>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（三）启动仪式（</w:t>
      </w:r>
      <w:r>
        <w:rPr>
          <w:rFonts w:ascii="楷体_GB2312" w:hAnsi="仿宋" w:eastAsia="楷体_GB2312"/>
          <w:bCs/>
          <w:sz w:val="32"/>
          <w:szCs w:val="32"/>
        </w:rPr>
        <w:t>2021年5</w:t>
      </w:r>
      <w:r>
        <w:rPr>
          <w:rFonts w:hint="eastAsia" w:ascii="楷体_GB2312" w:hAnsi="仿宋" w:eastAsia="楷体_GB2312"/>
          <w:bCs/>
          <w:sz w:val="32"/>
          <w:szCs w:val="32"/>
        </w:rPr>
        <w:t>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大赛组委会将于5月中下旬在江西省井冈山市举行2021年“青年红色筑梦之旅”活动全国启动仪式，举办多项同期活动，具体安排另行通知。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（四）组织实施（</w:t>
      </w:r>
      <w:r>
        <w:rPr>
          <w:rFonts w:ascii="楷体_GB2312" w:hAnsi="仿宋" w:eastAsia="楷体_GB2312"/>
          <w:bCs/>
          <w:sz w:val="32"/>
          <w:szCs w:val="32"/>
        </w:rPr>
        <w:t>2021年6</w:t>
      </w:r>
      <w:r>
        <w:rPr>
          <w:rFonts w:hint="eastAsia" w:ascii="楷体_GB2312" w:hAnsi="仿宋" w:eastAsia="楷体_GB2312"/>
          <w:bCs/>
          <w:sz w:val="32"/>
          <w:szCs w:val="32"/>
        </w:rPr>
        <w:t>—</w:t>
      </w:r>
      <w:r>
        <w:rPr>
          <w:rFonts w:ascii="楷体_GB2312" w:hAnsi="仿宋" w:eastAsia="楷体_GB2312"/>
          <w:bCs/>
          <w:sz w:val="32"/>
          <w:szCs w:val="32"/>
        </w:rPr>
        <w:t>9月）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（五）总结表彰（</w:t>
      </w:r>
      <w:r>
        <w:rPr>
          <w:rFonts w:ascii="楷体_GB2312" w:hAnsi="仿宋" w:eastAsia="楷体_GB2312"/>
          <w:bCs/>
          <w:sz w:val="32"/>
          <w:szCs w:val="32"/>
        </w:rPr>
        <w:t>2021年9</w:t>
      </w:r>
      <w:r>
        <w:rPr>
          <w:rFonts w:hint="eastAsia" w:ascii="楷体_GB2312" w:hAnsi="仿宋" w:eastAsia="楷体_GB2312"/>
          <w:bCs/>
          <w:sz w:val="32"/>
          <w:szCs w:val="32"/>
        </w:rPr>
        <w:t>—1</w:t>
      </w:r>
      <w:r>
        <w:rPr>
          <w:rFonts w:ascii="楷体_GB2312" w:hAnsi="仿宋" w:eastAsia="楷体_GB2312"/>
          <w:bCs/>
          <w:sz w:val="32"/>
          <w:szCs w:val="32"/>
        </w:rPr>
        <w:t>0月）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各地各高校要及时做好本次活动的经验总结和成果宣传。大赛组委会将遴选优秀案例，在总决赛期间举办“青年红色筑梦之旅”优秀成果展。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参加“青年红色筑梦之旅”活动的项目，符合大赛参赛要求的，可自主选择参加“青年红色筑梦之旅”赛道或其他赛道比赛（只能选择参加一个赛道）。本赛道单列奖项、单独设置评审指标。</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（一）参赛项目要求</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w:t>
      </w:r>
      <w:r>
        <w:rPr>
          <w:rFonts w:ascii="仿宋_GB2312" w:hAnsi="Calibri" w:eastAsia="仿宋_GB2312"/>
          <w:sz w:val="32"/>
          <w:szCs w:val="36"/>
        </w:rPr>
        <w:t>.</w:t>
      </w:r>
      <w:r>
        <w:rPr>
          <w:rFonts w:hint="eastAsia" w:ascii="仿宋_GB2312" w:hAnsi="Calibri" w:eastAsia="仿宋_GB2312"/>
          <w:sz w:val="32"/>
          <w:szCs w:val="36"/>
        </w:rPr>
        <w:t>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参赛申报人须为项目实际负责人，须为普通高等学校全日制在校生（包括本专科生、研究生，不含在职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），或毕业5年以内的学生（即</w:t>
      </w:r>
      <w:r>
        <w:rPr>
          <w:rFonts w:ascii="仿宋_GB2312" w:hAnsi="Calibri" w:eastAsia="仿宋_GB2312"/>
          <w:sz w:val="32"/>
          <w:szCs w:val="36"/>
        </w:rPr>
        <w:t>2016</w:t>
      </w:r>
      <w:r>
        <w:rPr>
          <w:rFonts w:hint="eastAsia" w:ascii="仿宋_GB2312" w:hAnsi="Calibri" w:eastAsia="仿宋_GB2312"/>
          <w:sz w:val="32"/>
          <w:szCs w:val="36"/>
        </w:rPr>
        <w:t>年之后的毕业生，不含在职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）。企业法定代表人在大赛通知发布之日后进行变更的不予认可。</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参加“青年红色筑梦之旅”赛道的项目，须为参加“青年红色筑梦之旅”活动的项目，</w:t>
      </w:r>
      <w:r>
        <w:rPr>
          <w:rFonts w:hint="eastAsia" w:ascii="仿宋_GB2312" w:hAnsi="Calibri" w:eastAsia="仿宋_GB2312"/>
          <w:sz w:val="32"/>
          <w:szCs w:val="36"/>
          <w:lang w:eastAsia="zh-Hans"/>
        </w:rPr>
        <w:t>否则</w:t>
      </w:r>
      <w:r>
        <w:rPr>
          <w:rFonts w:hint="eastAsia" w:ascii="仿宋_GB2312" w:hAnsi="Calibri" w:eastAsia="仿宋_GB2312"/>
          <w:sz w:val="32"/>
          <w:szCs w:val="36"/>
        </w:rPr>
        <w:t>一经发现，立即取消参赛资格。根据项目性质和特点，分为公益组、创意组、创业组。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1.公益组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）参赛申报主体为独立的公益项目或社会组织，注册或未注册成立公益机构（或社会组织）的项目均可参赛。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）师生共创的公益项目，若符合“青年红色筑梦之旅”赛道要求，可以参加本组比赛。</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2</w:t>
      </w:r>
      <w:r>
        <w:rPr>
          <w:rFonts w:ascii="仿宋_GB2312" w:hAnsi="Calibri" w:eastAsia="仿宋_GB2312"/>
          <w:bCs/>
          <w:sz w:val="32"/>
          <w:szCs w:val="36"/>
        </w:rPr>
        <w:t>.</w:t>
      </w:r>
      <w:r>
        <w:rPr>
          <w:rFonts w:hint="eastAsia" w:ascii="仿宋_GB2312" w:hAnsi="Calibri" w:eastAsia="仿宋_GB2312"/>
          <w:bCs/>
          <w:sz w:val="32"/>
          <w:szCs w:val="36"/>
        </w:rPr>
        <w:t>创意组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）参赛项目在大赛通知下发之日前尚未完成工商等各类登记注册。</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bookmarkStart w:id="0" w:name="_Hlk66979873"/>
      <w:r>
        <w:rPr>
          <w:rFonts w:hint="eastAsia" w:ascii="仿宋_GB2312" w:hAnsi="Calibri" w:eastAsia="仿宋_GB2312"/>
          <w:sz w:val="32"/>
          <w:szCs w:val="36"/>
        </w:rPr>
        <w:t>）师生共创的商业项目不允许参加“青年红色筑梦之旅”赛道，可参加高教主赛道。</w:t>
      </w:r>
      <w:bookmarkEnd w:id="0"/>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3</w:t>
      </w:r>
      <w:r>
        <w:rPr>
          <w:rFonts w:ascii="仿宋_GB2312" w:hAnsi="Calibri" w:eastAsia="仿宋_GB2312"/>
          <w:bCs/>
          <w:sz w:val="32"/>
          <w:szCs w:val="36"/>
        </w:rPr>
        <w:t>.</w:t>
      </w:r>
      <w:r>
        <w:rPr>
          <w:rFonts w:hint="eastAsia" w:ascii="仿宋_GB2312" w:hAnsi="Calibri" w:eastAsia="仿宋_GB2312"/>
          <w:bCs/>
          <w:sz w:val="32"/>
          <w:szCs w:val="36"/>
        </w:rPr>
        <w:t>创业组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）师生共创的商业项目不允许参加“青年红色筑梦之旅”赛道，可参加高教主赛道。</w:t>
      </w:r>
    </w:p>
    <w:p>
      <w:pPr>
        <w:snapToGrid w:val="0"/>
        <w:spacing w:line="540" w:lineRule="exact"/>
        <w:ind w:firstLine="640" w:firstLineChars="200"/>
        <w:rPr>
          <w:rFonts w:ascii="仿宋_GB2312" w:hAnsi="Calibri" w:eastAsia="仿宋_GB2312"/>
          <w:bCs/>
          <w:sz w:val="32"/>
          <w:szCs w:val="36"/>
        </w:rPr>
      </w:pPr>
      <w:r>
        <w:rPr>
          <w:rFonts w:hint="eastAsia" w:ascii="楷体_GB2312" w:hAnsi="仿宋" w:eastAsia="楷体_GB2312"/>
          <w:bCs/>
          <w:sz w:val="32"/>
          <w:szCs w:val="32"/>
        </w:rPr>
        <w:t>（</w:t>
      </w:r>
      <w:r>
        <w:rPr>
          <w:rFonts w:hint="eastAsia" w:ascii="楷体_GB2312" w:hAnsi="仿宋" w:eastAsia="楷体_GB2312"/>
          <w:bCs/>
          <w:sz w:val="32"/>
          <w:szCs w:val="32"/>
          <w:lang w:eastAsia="zh-Hans"/>
        </w:rPr>
        <w:t>三</w:t>
      </w:r>
      <w:r>
        <w:rPr>
          <w:rFonts w:hint="eastAsia" w:ascii="楷体_GB2312" w:hAnsi="仿宋" w:eastAsia="楷体_GB2312"/>
          <w:bCs/>
          <w:sz w:val="32"/>
          <w:szCs w:val="32"/>
        </w:rPr>
        <w:t>）</w:t>
      </w:r>
      <w:r>
        <w:rPr>
          <w:rFonts w:ascii="楷体_GB2312" w:hAnsi="仿宋" w:eastAsia="楷体_GB2312"/>
          <w:bCs/>
          <w:sz w:val="32"/>
          <w:szCs w:val="32"/>
        </w:rPr>
        <w:t>奖项</w:t>
      </w:r>
      <w:r>
        <w:rPr>
          <w:rFonts w:hint="eastAsia" w:ascii="楷体_GB2312" w:hAnsi="仿宋" w:eastAsia="楷体_GB2312"/>
          <w:bCs/>
          <w:sz w:val="32"/>
          <w:szCs w:val="32"/>
        </w:rPr>
        <w:t>设置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1.本赛道设置金奖</w:t>
      </w:r>
      <w:r>
        <w:rPr>
          <w:rFonts w:ascii="仿宋_GB2312" w:hAnsi="Calibri" w:eastAsia="仿宋_GB2312"/>
          <w:sz w:val="32"/>
          <w:szCs w:val="36"/>
        </w:rPr>
        <w:t>50</w:t>
      </w:r>
      <w:r>
        <w:rPr>
          <w:rFonts w:hint="eastAsia" w:ascii="仿宋_GB2312" w:hAnsi="Calibri" w:eastAsia="仿宋_GB2312"/>
          <w:sz w:val="32"/>
          <w:szCs w:val="36"/>
        </w:rPr>
        <w:t>个、银奖</w:t>
      </w:r>
      <w:r>
        <w:rPr>
          <w:rFonts w:ascii="仿宋_GB2312" w:hAnsi="Calibri" w:eastAsia="仿宋_GB2312"/>
          <w:sz w:val="32"/>
          <w:szCs w:val="36"/>
        </w:rPr>
        <w:t>100</w:t>
      </w:r>
      <w:r>
        <w:rPr>
          <w:rFonts w:hint="eastAsia" w:ascii="仿宋_GB2312" w:hAnsi="Calibri" w:eastAsia="仿宋_GB2312"/>
          <w:sz w:val="32"/>
          <w:szCs w:val="36"/>
        </w:rPr>
        <w:t>个、铜奖</w:t>
      </w:r>
      <w:r>
        <w:rPr>
          <w:rFonts w:ascii="仿宋_GB2312" w:hAnsi="Calibri" w:eastAsia="仿宋_GB2312"/>
          <w:sz w:val="32"/>
          <w:szCs w:val="36"/>
        </w:rPr>
        <w:t>350</w:t>
      </w:r>
      <w:r>
        <w:rPr>
          <w:rFonts w:hint="eastAsia" w:ascii="仿宋_GB2312" w:hAnsi="Calibri" w:eastAsia="仿宋_GB2312"/>
          <w:sz w:val="32"/>
          <w:szCs w:val="36"/>
        </w:rPr>
        <w:t>个。</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2.本赛道设置乡村振兴奖、社区治理奖等若干单项奖，奖励对农村地区教育、科技、农业、医疗以及城乡社区治理等方面有突出贡献的项目。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3.本赛道设置高校集体奖20个、省市优秀组织奖8个和优秀创新创业导师若干名。获奖单位和个人颁发证书或奖牌。</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（五）其他</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本附件所涉及条款的最终解释权，归第七届中国国际“互联网+”大学生创新创业大赛组委会所有。</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1.高度重视、精心组织。</w:t>
      </w:r>
      <w:r>
        <w:rPr>
          <w:rFonts w:hint="eastAsia" w:ascii="仿宋_GB2312" w:hAnsi="Calibri" w:eastAsia="仿宋_GB2312"/>
          <w:sz w:val="32"/>
          <w:szCs w:val="36"/>
        </w:rPr>
        <w:t>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2.统筹资源、加强保障。</w:t>
      </w:r>
      <w:r>
        <w:rPr>
          <w:rFonts w:hint="eastAsia" w:ascii="仿宋_GB2312" w:hAnsi="Calibri" w:eastAsia="仿宋_GB2312"/>
          <w:sz w:val="32"/>
          <w:szCs w:val="36"/>
        </w:rPr>
        <w:t>各地要积极协调地方政府有关部门，以及行业企业、公益机构、投资机构等，通过政策倾斜、资金支持、设立公益基金等方式为活动提供保障。</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3.广泛宣传、营造氛围。</w:t>
      </w:r>
      <w:r>
        <w:rPr>
          <w:rFonts w:hint="eastAsia" w:ascii="仿宋_GB2312" w:hAnsi="Calibri" w:eastAsia="仿宋_GB2312"/>
          <w:sz w:val="32"/>
          <w:szCs w:val="36"/>
        </w:rPr>
        <w:t>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4.敢于尝试、积极创新。</w:t>
      </w:r>
      <w:r>
        <w:rPr>
          <w:rFonts w:hint="eastAsia" w:ascii="仿宋_GB2312" w:hAnsi="Calibri" w:eastAsia="仿宋_GB2312"/>
          <w:sz w:val="32"/>
          <w:szCs w:val="36"/>
        </w:rPr>
        <w:t>利用网络直播、短视频等新型传播与销售途径，引导、助力红旅项目团队把握机会，积极创新创业。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024B5"/>
    <w:rsid w:val="27502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2021-04-17T13:24:00Z</dcterms:created>
  <dc:creator>子健</dc:creator>
  <cp:lastModifiedBy>子健</cp:lastModifiedBy>
  <dcterms:modified xsi:type="dcterms:W3CDTF">2021-04-17T13:25:12Z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