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562A2">
      <w:pPr>
        <w:pStyle w:val="2"/>
      </w:pPr>
      <w:bookmarkStart w:id="0" w:name="_Toc100428200"/>
      <w:bookmarkStart w:id="1" w:name="_Toc100428189"/>
      <w:bookmarkStart w:id="20" w:name="_GoBack"/>
      <w:bookmarkEnd w:id="20"/>
      <w:r>
        <w:rPr>
          <w:rFonts w:hint="eastAsia"/>
        </w:rPr>
        <w:t>华南师范大学众创空间基地团队管理办法（细则）</w:t>
      </w:r>
    </w:p>
    <w:p w14:paraId="53AF4DF0">
      <w:pPr>
        <w:pStyle w:val="3"/>
      </w:pPr>
      <w:r>
        <w:rPr>
          <w:rFonts w:hint="eastAsia"/>
        </w:rPr>
        <w:t>一、团队日常管理标准</w:t>
      </w:r>
      <w:bookmarkEnd w:id="0"/>
    </w:p>
    <w:p w14:paraId="102FD32E">
      <w:pPr>
        <w:pStyle w:val="4"/>
      </w:pPr>
      <w:r>
        <w:rPr>
          <w:rFonts w:hint="eastAsia"/>
        </w:rPr>
        <w:t>第一条 团队申请入驻/入库管理</w:t>
      </w:r>
    </w:p>
    <w:p w14:paraId="473A0850">
      <w:r>
        <w:rPr>
          <w:rFonts w:hint="eastAsia"/>
        </w:rPr>
        <w:t>1</w:t>
      </w:r>
      <w:r>
        <w:t>.</w:t>
      </w:r>
      <w:r>
        <w:rPr>
          <w:rFonts w:hint="eastAsia"/>
        </w:rPr>
        <w:t>申请入驻、入库团队需符合当期基地团队招募要求。</w:t>
      </w:r>
    </w:p>
    <w:p w14:paraId="0CC26198">
      <w:r>
        <w:rPr>
          <w:rFonts w:hint="eastAsia"/>
        </w:rPr>
        <w:t>2</w:t>
      </w:r>
      <w:r>
        <w:t>.</w:t>
      </w:r>
      <w:r>
        <w:rPr>
          <w:rFonts w:hint="eastAsia"/>
        </w:rPr>
        <w:t>团队申请入库须经众创空间项目部审核，审核通过后方可入库；申请入驻须经众创空间项目部初审、众创空间管理办公室复审，审核通过后方可入驻。</w:t>
      </w:r>
    </w:p>
    <w:p w14:paraId="4D4C8990">
      <w:r>
        <w:rPr>
          <w:rFonts w:hint="eastAsia"/>
        </w:rPr>
        <w:t>3</w:t>
      </w:r>
      <w:r>
        <w:t>.</w:t>
      </w:r>
      <w:r>
        <w:rPr>
          <w:rFonts w:hint="eastAsia"/>
        </w:rPr>
        <w:t>团队相互独立，以签署入驻、入库协议为准，不承认一切以“挂靠”、“分支”、“附属”等名义事实使用基地的行为。</w:t>
      </w:r>
    </w:p>
    <w:p w14:paraId="565A6BDE">
      <w:r>
        <w:t>4.</w:t>
      </w:r>
      <w:r>
        <w:rPr>
          <w:rFonts w:hint="eastAsia"/>
        </w:rPr>
        <w:t>即签署协议起，团队入驻、入库实际孵化时间不得超过2年，若存在发展需求，经众创空间管理办公室批准，可延长孵化期1年。</w:t>
      </w:r>
    </w:p>
    <w:p w14:paraId="4906501C">
      <w:r>
        <w:rPr>
          <w:rFonts w:hint="eastAsia"/>
        </w:rPr>
        <w:t>5</w:t>
      </w:r>
      <w:r>
        <w:t>.</w:t>
      </w:r>
      <w:r>
        <w:rPr>
          <w:rFonts w:hint="eastAsia"/>
        </w:rPr>
        <w:t>已入库团队在满足入驻条件前提下，可申请转为入驻团队。</w:t>
      </w:r>
    </w:p>
    <w:p w14:paraId="416B77A8">
      <w:r>
        <w:t>6.</w:t>
      </w:r>
      <w:r>
        <w:rPr>
          <w:rFonts w:hint="eastAsia"/>
        </w:rPr>
        <w:t>申请入驻、入库团度须接受基地管理培训，并悉知本管理办法。</w:t>
      </w:r>
    </w:p>
    <w:p w14:paraId="66C3F628">
      <w:pPr>
        <w:pStyle w:val="4"/>
      </w:pPr>
      <w:r>
        <w:rPr>
          <w:rFonts w:hint="eastAsia"/>
        </w:rPr>
        <w:t>第二条 团队人员管理</w:t>
      </w:r>
    </w:p>
    <w:p w14:paraId="26222A6F">
      <w:r>
        <w:rPr>
          <w:rFonts w:hint="eastAsia"/>
        </w:rPr>
        <w:t>1</w:t>
      </w:r>
      <w:r>
        <w:t>.</w:t>
      </w:r>
      <w:r>
        <w:rPr>
          <w:rFonts w:hint="eastAsia"/>
        </w:rPr>
        <w:t>团队入驻、入库成员名单以团队所提交的《团队成员基本信息表》为准。</w:t>
      </w:r>
    </w:p>
    <w:p w14:paraId="40C78E10">
      <w:r>
        <w:rPr>
          <w:rFonts w:hint="eastAsia"/>
        </w:rPr>
        <w:t>2</w:t>
      </w:r>
      <w:r>
        <w:t>.</w:t>
      </w:r>
      <w:r>
        <w:rPr>
          <w:rFonts w:hint="eastAsia"/>
        </w:rPr>
        <w:t>团队负责人更变须提交《团队负责人更变申请表》，待申请通过后完成更变。</w:t>
      </w:r>
    </w:p>
    <w:p w14:paraId="1D92C8B3">
      <w:r>
        <w:rPr>
          <w:rFonts w:hint="eastAsia"/>
        </w:rPr>
        <w:t>3</w:t>
      </w:r>
      <w:r>
        <w:t>.</w:t>
      </w:r>
      <w:r>
        <w:rPr>
          <w:rFonts w:hint="eastAsia"/>
        </w:rPr>
        <w:t>团队核心成员更变须提交《团队核心成员更变申请表》，待申请通过后完成更变。</w:t>
      </w:r>
    </w:p>
    <w:p w14:paraId="2BF9A7AC">
      <w:r>
        <w:rPr>
          <w:rFonts w:hint="eastAsia"/>
        </w:rPr>
        <w:t>4</w:t>
      </w:r>
      <w:r>
        <w:t>.</w:t>
      </w:r>
      <w:r>
        <w:rPr>
          <w:rFonts w:hint="eastAsia"/>
        </w:rPr>
        <w:t>团队成员退出、新增以及成员信息更变、更正，须在5个工作日内联系基地助理更新。</w:t>
      </w:r>
    </w:p>
    <w:p w14:paraId="70364CFC">
      <w:r>
        <w:rPr>
          <w:rFonts w:hint="eastAsia"/>
        </w:rPr>
        <w:t>5</w:t>
      </w:r>
      <w:r>
        <w:t>.</w:t>
      </w:r>
      <w:r>
        <w:rPr>
          <w:rFonts w:hint="eastAsia"/>
        </w:rPr>
        <w:t>团队校外成员需到校办公，须至少提前</w:t>
      </w:r>
      <w:r>
        <w:t>1</w:t>
      </w:r>
      <w:r>
        <w:rPr>
          <w:rFonts w:hint="eastAsia"/>
        </w:rPr>
        <w:t>个工作日向基地助理进行申报，并提交相关个人信息。</w:t>
      </w:r>
    </w:p>
    <w:p w14:paraId="75973F0B">
      <w:r>
        <w:rPr>
          <w:rFonts w:hint="eastAsia"/>
        </w:rPr>
        <w:t>6</w:t>
      </w:r>
      <w:r>
        <w:t>.</w:t>
      </w:r>
      <w:r>
        <w:rPr>
          <w:rFonts w:hint="eastAsia"/>
        </w:rPr>
        <w:t>团队未登记在册成员、临时成员未经允许不得擅自进入基地办公。</w:t>
      </w:r>
    </w:p>
    <w:p w14:paraId="3D8FDD3B">
      <w:pPr>
        <w:pStyle w:val="4"/>
      </w:pPr>
      <w:bookmarkStart w:id="2" w:name="_Toc100428201"/>
      <w:r>
        <w:rPr>
          <w:rFonts w:hint="eastAsia"/>
        </w:rPr>
        <w:t>第三条 场地管理</w:t>
      </w:r>
      <w:bookmarkEnd w:id="2"/>
    </w:p>
    <w:p w14:paraId="6976C866">
      <w:r>
        <w:rPr>
          <w:rFonts w:hint="eastAsia"/>
        </w:rPr>
        <w:t>1</w:t>
      </w:r>
      <w:r>
        <w:t>.</w:t>
      </w:r>
      <w:r>
        <w:rPr>
          <w:rFonts w:hint="eastAsia"/>
        </w:rPr>
        <w:t xml:space="preserve">入驻团队享有固定工位，原则上各团队工位分配数量不超过6个。                                                                                    </w:t>
      </w:r>
    </w:p>
    <w:p w14:paraId="37C020E5">
      <w:r>
        <w:rPr>
          <w:rFonts w:hint="eastAsia"/>
        </w:rPr>
        <w:t>2</w:t>
      </w:r>
      <w:r>
        <w:t>.</w:t>
      </w:r>
      <w:r>
        <w:rPr>
          <w:rFonts w:hint="eastAsia"/>
        </w:rPr>
        <w:t>入驻、入库团队经申请可使用基地智慧教室、大会议室、路演中心、头脑风暴室、研讨室及共享办公隔间。</w:t>
      </w:r>
    </w:p>
    <w:p w14:paraId="1A276B2B">
      <w:r>
        <w:rPr>
          <w:rFonts w:hint="eastAsia"/>
        </w:rPr>
        <w:t>3</w:t>
      </w:r>
      <w:r>
        <w:t>.</w:t>
      </w:r>
      <w:r>
        <w:rPr>
          <w:rFonts w:hint="eastAsia"/>
        </w:rPr>
        <w:t>使用基地智慧教室、大会议室、路演中心及头脑风暴室须提前提交《场地借用申请表》，经审批后方可使用；使用共享型办公隔间、研讨室不需提交《场地借用申请表》。</w:t>
      </w:r>
    </w:p>
    <w:p w14:paraId="6FC92531">
      <w:r>
        <w:rPr>
          <w:rFonts w:hint="eastAsia"/>
        </w:rPr>
        <w:t>4</w:t>
      </w:r>
      <w:r>
        <w:t>.</w:t>
      </w:r>
      <w:r>
        <w:rPr>
          <w:rFonts w:hint="eastAsia"/>
        </w:rPr>
        <w:t>使用基地场地前，须由借用人或团队其他成员到前台填写《场地借用登记表》，由助理核实无误后方可使用场地。</w:t>
      </w:r>
    </w:p>
    <w:p w14:paraId="24FFD2A9">
      <w:r>
        <w:rPr>
          <w:rFonts w:hint="eastAsia"/>
        </w:rPr>
        <w:t>5</w:t>
      </w:r>
      <w:r>
        <w:t>.</w:t>
      </w:r>
      <w:r>
        <w:rPr>
          <w:rFonts w:hint="eastAsia"/>
        </w:rPr>
        <w:t>场地使用结束后，须还原场地至借用前状态，并由助理核验后方可离开。</w:t>
      </w:r>
    </w:p>
    <w:p w14:paraId="78AEEB55">
      <w:r>
        <w:t>6.</w:t>
      </w:r>
      <w:r>
        <w:rPr>
          <w:rFonts w:hint="eastAsia"/>
        </w:rPr>
        <w:t>未经允许不得以任何理由在场地申请使用时间外使用场地。</w:t>
      </w:r>
    </w:p>
    <w:p w14:paraId="740061ED">
      <w:r>
        <w:t>7.</w:t>
      </w:r>
      <w:r>
        <w:rPr>
          <w:rFonts w:hint="eastAsia"/>
        </w:rPr>
        <w:t>严禁在基地开放时间以外使用场地。</w:t>
      </w:r>
    </w:p>
    <w:p w14:paraId="5067C482">
      <w:r>
        <w:rPr>
          <w:rFonts w:hint="eastAsia"/>
        </w:rPr>
        <w:t>8</w:t>
      </w:r>
      <w:r>
        <w:t>.</w:t>
      </w:r>
      <w:r>
        <w:rPr>
          <w:rFonts w:hint="eastAsia"/>
        </w:rPr>
        <w:t>不得以任何形式将办公场地借与他人使用或与他人共享。</w:t>
      </w:r>
    </w:p>
    <w:p w14:paraId="1FAF0C36">
      <w:r>
        <w:rPr>
          <w:rFonts w:hint="eastAsia"/>
        </w:rPr>
        <w:t>9</w:t>
      </w:r>
      <w:r>
        <w:t>.</w:t>
      </w:r>
      <w:r>
        <w:rPr>
          <w:rFonts w:hint="eastAsia"/>
        </w:rPr>
        <w:t>不得以任何形式买卖、租售基地办公空间。</w:t>
      </w:r>
    </w:p>
    <w:p w14:paraId="2DD83571">
      <w:r>
        <w:rPr>
          <w:rFonts w:hint="eastAsia"/>
        </w:rPr>
        <w:t>1</w:t>
      </w:r>
      <w:r>
        <w:t>0.</w:t>
      </w:r>
      <w:r>
        <w:rPr>
          <w:rFonts w:hint="eastAsia"/>
        </w:rPr>
        <w:t>不得利用基地场地用于私人用途或与团队发展无关事项。</w:t>
      </w:r>
    </w:p>
    <w:p w14:paraId="1F9AFB6F">
      <w:r>
        <w:rPr>
          <w:rFonts w:hint="eastAsia"/>
        </w:rPr>
        <w:t>1</w:t>
      </w:r>
      <w:r>
        <w:t>1.</w:t>
      </w:r>
      <w:r>
        <w:rPr>
          <w:rFonts w:hint="eastAsia"/>
        </w:rPr>
        <w:t>不得利用办公场地进行非法活动，严禁进行宗教活动。</w:t>
      </w:r>
    </w:p>
    <w:p w14:paraId="65215FDD">
      <w:r>
        <w:rPr>
          <w:rFonts w:hint="eastAsia"/>
        </w:rPr>
        <w:t>1</w:t>
      </w:r>
      <w:r>
        <w:t>2.</w:t>
      </w:r>
      <w:r>
        <w:rPr>
          <w:rFonts w:hint="eastAsia"/>
        </w:rPr>
        <w:t>未经允许不得擅自占用、改造工位及公共区域。</w:t>
      </w:r>
    </w:p>
    <w:p w14:paraId="6BFD6D20">
      <w:r>
        <w:rPr>
          <w:rFonts w:hint="eastAsia"/>
        </w:rPr>
        <w:t>1</w:t>
      </w:r>
      <w:r>
        <w:t>3.</w:t>
      </w:r>
      <w:r>
        <w:rPr>
          <w:rFonts w:hint="eastAsia"/>
        </w:rPr>
        <w:t>团队应爱护地场，发现破坏基地场地行为应主动制止，发现问题应及时主动上报。</w:t>
      </w:r>
    </w:p>
    <w:p w14:paraId="579951FE">
      <w:pPr>
        <w:pStyle w:val="4"/>
      </w:pPr>
      <w:bookmarkStart w:id="3" w:name="_Toc100428202"/>
      <w:r>
        <w:rPr>
          <w:rFonts w:hint="eastAsia"/>
        </w:rPr>
        <w:t>第四条 物业管理</w:t>
      </w:r>
      <w:bookmarkEnd w:id="3"/>
    </w:p>
    <w:p w14:paraId="4C0AC15E">
      <w:r>
        <w:rPr>
          <w:rFonts w:hint="eastAsia"/>
        </w:rPr>
        <w:t>1</w:t>
      </w:r>
      <w:r>
        <w:t>.</w:t>
      </w:r>
      <w:r>
        <w:rPr>
          <w:rFonts w:hint="eastAsia"/>
        </w:rPr>
        <w:t>基地日常开放时段为：早上8</w:t>
      </w:r>
      <w:r>
        <w:t>:30-</w:t>
      </w:r>
      <w:r>
        <w:rPr>
          <w:rFonts w:hint="eastAsia"/>
        </w:rPr>
        <w:t>晚上2</w:t>
      </w:r>
      <w:r>
        <w:t>2:00</w:t>
      </w:r>
      <w:r>
        <w:rPr>
          <w:rFonts w:hint="eastAsia"/>
        </w:rPr>
        <w:t>，寒暑假开放时段：早上9</w:t>
      </w:r>
      <w:r>
        <w:t>:00-</w:t>
      </w:r>
      <w:r>
        <w:rPr>
          <w:rFonts w:hint="eastAsia"/>
        </w:rPr>
        <w:t>下午1</w:t>
      </w:r>
      <w:r>
        <w:t>7:00</w:t>
      </w:r>
      <w:r>
        <w:rPr>
          <w:rFonts w:hint="eastAsia"/>
        </w:rPr>
        <w:t>。</w:t>
      </w:r>
    </w:p>
    <w:p w14:paraId="349B123E">
      <w:r>
        <w:t>2.</w:t>
      </w:r>
      <w:r>
        <w:rPr>
          <w:rFonts w:hint="eastAsia"/>
        </w:rPr>
        <w:t>团队成员进入基地办公应佩戴好工作证，主动配合助理做好信息登记工作。</w:t>
      </w:r>
    </w:p>
    <w:p w14:paraId="4851796E">
      <w:r>
        <w:t>3.</w:t>
      </w:r>
      <w:r>
        <w:rPr>
          <w:rFonts w:hint="eastAsia"/>
        </w:rPr>
        <w:t>团队成员须在基地开放时间进入基地办公，未开放时间段内未经允许禁止擅自进入基地。</w:t>
      </w:r>
    </w:p>
    <w:p w14:paraId="1607E3B2">
      <w:r>
        <w:t>4.</w:t>
      </w:r>
      <w:r>
        <w:rPr>
          <w:rFonts w:hint="eastAsia"/>
        </w:rPr>
        <w:t>团队在晚上2</w:t>
      </w:r>
      <w:r>
        <w:t>2:00</w:t>
      </w:r>
      <w:r>
        <w:rPr>
          <w:rFonts w:hint="eastAsia"/>
        </w:rPr>
        <w:t>后仍需在基地办公，须主动配合助理填写《团队加班登记表》。</w:t>
      </w:r>
    </w:p>
    <w:p w14:paraId="6B8EF456">
      <w:r>
        <w:rPr>
          <w:rFonts w:hint="eastAsia"/>
        </w:rPr>
        <w:t>5</w:t>
      </w:r>
      <w:r>
        <w:t>.</w:t>
      </w:r>
      <w:r>
        <w:rPr>
          <w:rFonts w:hint="eastAsia"/>
        </w:rPr>
        <w:t>团队须在每日晚上2</w:t>
      </w:r>
      <w:r>
        <w:t>4:00</w:t>
      </w:r>
      <w:r>
        <w:rPr>
          <w:rFonts w:hint="eastAsia"/>
        </w:rPr>
        <w:t>前离开基地，不得以任何理由在基地通宵、过夜。</w:t>
      </w:r>
    </w:p>
    <w:p w14:paraId="0F78FD47">
      <w:r>
        <w:rPr>
          <w:rFonts w:hint="eastAsia"/>
        </w:rPr>
        <w:t>6</w:t>
      </w:r>
      <w:r>
        <w:t>.</w:t>
      </w:r>
      <w:r>
        <w:rPr>
          <w:rFonts w:hint="eastAsia"/>
        </w:rPr>
        <w:t>未经允许，严禁携带非团队人员、无关人员进入基地。</w:t>
      </w:r>
    </w:p>
    <w:p w14:paraId="7E1D83A7">
      <w:r>
        <w:rPr>
          <w:rFonts w:hint="eastAsia"/>
        </w:rPr>
        <w:t>7</w:t>
      </w:r>
      <w:r>
        <w:t>.</w:t>
      </w:r>
      <w:r>
        <w:rPr>
          <w:rFonts w:hint="eastAsia"/>
        </w:rPr>
        <w:t>未经允许，严禁擅自使用基地物资；使用基地物资须填写《物资使用申请表》，审批后方可使用，在使用结束后需归还至A40</w:t>
      </w:r>
      <w:r>
        <w:t>1</w:t>
      </w:r>
      <w:r>
        <w:rPr>
          <w:rFonts w:hint="eastAsia"/>
        </w:rPr>
        <w:t>基地管理办公室。</w:t>
      </w:r>
    </w:p>
    <w:p w14:paraId="131EC600">
      <w:r>
        <w:rPr>
          <w:rFonts w:hint="eastAsia"/>
        </w:rPr>
        <w:t>8</w:t>
      </w:r>
      <w:r>
        <w:t>.</w:t>
      </w:r>
      <w:r>
        <w:rPr>
          <w:rFonts w:hint="eastAsia"/>
        </w:rPr>
        <w:t>团队须妥善保管创业学院移交的物资，若有损坏及时报告并按当时市场平均价格进行赔偿。</w:t>
      </w:r>
    </w:p>
    <w:p w14:paraId="7E1B8F0B">
      <w:r>
        <w:t>9.</w:t>
      </w:r>
      <w:r>
        <w:rPr>
          <w:rFonts w:hint="eastAsia"/>
        </w:rPr>
        <w:t>团队需保管好个人物品，原则上禁止在基地存放个人物品，物品遗失由团队个人承担。</w:t>
      </w:r>
    </w:p>
    <w:p w14:paraId="051604F1">
      <w:r>
        <w:t>10.</w:t>
      </w:r>
      <w:r>
        <w:rPr>
          <w:rFonts w:hint="eastAsia"/>
        </w:rPr>
        <w:t>基地工位、公共办公场地使用结束后须恢复场地至使用前状态，并保持卫生整洁。</w:t>
      </w:r>
    </w:p>
    <w:p w14:paraId="6B4297A0">
      <w:r>
        <w:rPr>
          <w:rFonts w:hint="eastAsia"/>
        </w:rPr>
        <w:t>1</w:t>
      </w:r>
      <w:r>
        <w:t>1.</w:t>
      </w:r>
      <w:r>
        <w:rPr>
          <w:rFonts w:hint="eastAsia"/>
        </w:rPr>
        <w:t>团队工位处垃圾桶须每日一清，办公结束离开时须带走团队垃圾，严禁长期堆积垃圾。</w:t>
      </w:r>
    </w:p>
    <w:p w14:paraId="47247E78">
      <w:r>
        <w:rPr>
          <w:rFonts w:hint="eastAsia"/>
        </w:rPr>
        <w:t>1</w:t>
      </w:r>
      <w:r>
        <w:t>2.</w:t>
      </w:r>
      <w:r>
        <w:rPr>
          <w:rFonts w:hint="eastAsia"/>
        </w:rPr>
        <w:t>团队办公结束后需清扫使用场地卫生，离开时关闭电源，关紧门窗。</w:t>
      </w:r>
    </w:p>
    <w:p w14:paraId="59E21AFD">
      <w:r>
        <w:rPr>
          <w:rFonts w:hint="eastAsia"/>
        </w:rPr>
        <w:t>1</w:t>
      </w:r>
      <w:r>
        <w:t>3.</w:t>
      </w:r>
      <w:r>
        <w:rPr>
          <w:rFonts w:hint="eastAsia"/>
        </w:rPr>
        <w:t>若团队在晚上2</w:t>
      </w:r>
      <w:r>
        <w:t>2:00</w:t>
      </w:r>
      <w:r>
        <w:rPr>
          <w:rFonts w:hint="eastAsia"/>
        </w:rPr>
        <w:t>后离开，且为最后离开团队，须巡视基地一周，确保空调、灯等设备断电，离开时确认大门关闭。</w:t>
      </w:r>
    </w:p>
    <w:p w14:paraId="210E93FC">
      <w:r>
        <w:rPr>
          <w:rFonts w:hint="eastAsia"/>
        </w:rPr>
        <w:t>1</w:t>
      </w:r>
      <w:r>
        <w:t>4.</w:t>
      </w:r>
      <w:r>
        <w:rPr>
          <w:rFonts w:hint="eastAsia"/>
        </w:rPr>
        <w:t>团队办公时应保持安静，不得大声喧哗或进行干扰其他团队正常办公的活动。</w:t>
      </w:r>
    </w:p>
    <w:p w14:paraId="15EA5289">
      <w:r>
        <w:rPr>
          <w:rFonts w:hint="eastAsia"/>
        </w:rPr>
        <w:t>1</w:t>
      </w:r>
      <w:r>
        <w:t>5.</w:t>
      </w:r>
      <w:r>
        <w:rPr>
          <w:rFonts w:hint="eastAsia"/>
        </w:rPr>
        <w:t>禁止携带具有腐蚀性、毒性、爆炸性、刺激性等危险化学试剂进入基地。</w:t>
      </w:r>
    </w:p>
    <w:p w14:paraId="29BA042D">
      <w:r>
        <w:t>16.</w:t>
      </w:r>
      <w:r>
        <w:rPr>
          <w:rFonts w:hint="eastAsia"/>
        </w:rPr>
        <w:t>严禁携带电动滑板车、电瓶车及其电瓶等电动交通工具进入基地充电。</w:t>
      </w:r>
    </w:p>
    <w:p w14:paraId="0BAF3BB5">
      <w:r>
        <w:rPr>
          <w:rFonts w:hint="eastAsia"/>
        </w:rPr>
        <w:t>1</w:t>
      </w:r>
      <w:r>
        <w:t>7.</w:t>
      </w:r>
      <w:r>
        <w:rPr>
          <w:rFonts w:hint="eastAsia"/>
        </w:rPr>
        <w:t>禁止携带外卖、零食、水果等食品进入基地。</w:t>
      </w:r>
    </w:p>
    <w:p w14:paraId="261B45A2">
      <w:r>
        <w:rPr>
          <w:rFonts w:hint="eastAsia"/>
        </w:rPr>
        <w:t>1</w:t>
      </w:r>
      <w:r>
        <w:t>8.</w:t>
      </w:r>
      <w:r>
        <w:rPr>
          <w:rFonts w:hint="eastAsia"/>
        </w:rPr>
        <w:t>禁止情侣在基地任何范围内发生亲密行为。</w:t>
      </w:r>
    </w:p>
    <w:p w14:paraId="4FEE2953">
      <w:r>
        <w:rPr>
          <w:rFonts w:hint="eastAsia"/>
        </w:rPr>
        <w:t>1</w:t>
      </w:r>
      <w:r>
        <w:t>9.</w:t>
      </w:r>
      <w:r>
        <w:rPr>
          <w:rFonts w:hint="eastAsia"/>
        </w:rPr>
        <w:t>禁止在基地使用具有干扰性的仪器设备。</w:t>
      </w:r>
    </w:p>
    <w:p w14:paraId="79D9484C">
      <w:r>
        <w:rPr>
          <w:rFonts w:hint="eastAsia"/>
        </w:rPr>
        <w:t>2</w:t>
      </w:r>
      <w:r>
        <w:t>0.</w:t>
      </w:r>
      <w:r>
        <w:rPr>
          <w:rFonts w:hint="eastAsia"/>
        </w:rPr>
        <w:t>禁止在基地任何范围内饮用酒精饮料。</w:t>
      </w:r>
    </w:p>
    <w:p w14:paraId="6B89842F">
      <w:r>
        <w:t>21.</w:t>
      </w:r>
      <w:r>
        <w:rPr>
          <w:rFonts w:hint="eastAsia"/>
        </w:rPr>
        <w:t>禁止携带易燃易爆物品进入基地。</w:t>
      </w:r>
    </w:p>
    <w:p w14:paraId="39BFB22F">
      <w:r>
        <w:t>22.</w:t>
      </w:r>
      <w:r>
        <w:rPr>
          <w:rFonts w:hint="eastAsia"/>
        </w:rPr>
        <w:t>禁止携带大功率设备进入基地。</w:t>
      </w:r>
    </w:p>
    <w:p w14:paraId="70405B2B">
      <w:r>
        <w:t>23.</w:t>
      </w:r>
      <w:r>
        <w:rPr>
          <w:rFonts w:hint="eastAsia"/>
        </w:rPr>
        <w:t>禁止携带任何宠物进入基地。</w:t>
      </w:r>
    </w:p>
    <w:p w14:paraId="708A4D83">
      <w:r>
        <w:rPr>
          <w:rFonts w:hint="eastAsia"/>
        </w:rPr>
        <w:t>2</w:t>
      </w:r>
      <w:r>
        <w:t>4.</w:t>
      </w:r>
      <w:r>
        <w:rPr>
          <w:rFonts w:hint="eastAsia"/>
        </w:rPr>
        <w:t>在基地禁烟区禁止吸烟。</w:t>
      </w:r>
    </w:p>
    <w:p w14:paraId="678F03B4">
      <w:r>
        <w:rPr>
          <w:rFonts w:hint="eastAsia"/>
        </w:rPr>
        <w:t>2</w:t>
      </w:r>
      <w:r>
        <w:t>5.</w:t>
      </w:r>
      <w:r>
        <w:rPr>
          <w:rFonts w:hint="eastAsia"/>
        </w:rPr>
        <w:t>禁止在基地内就餐。</w:t>
      </w:r>
    </w:p>
    <w:p w14:paraId="00F58382">
      <w:r>
        <w:rPr>
          <w:rFonts w:hint="eastAsia"/>
        </w:rPr>
        <w:t>2</w:t>
      </w:r>
      <w:r>
        <w:t>6.</w:t>
      </w:r>
      <w:r>
        <w:rPr>
          <w:rFonts w:hint="eastAsia"/>
        </w:rPr>
        <w:t>若发现任何存在引发安全事故的隐患，须及时主动向基地助理报告。</w:t>
      </w:r>
    </w:p>
    <w:p w14:paraId="61169F4F">
      <w:pPr>
        <w:rPr>
          <w:rFonts w:cs="Calibri"/>
        </w:rPr>
      </w:pPr>
      <w:r>
        <w:rPr>
          <w:rFonts w:hint="eastAsia"/>
        </w:rPr>
        <w:t>2</w:t>
      </w:r>
      <w:r>
        <w:t>7.</w:t>
      </w:r>
      <w:r>
        <w:rPr>
          <w:rFonts w:hint="eastAsia"/>
        </w:rPr>
        <w:t>因团队成员管理不当造成的财产损失，生命健康损失等，</w:t>
      </w:r>
      <w:r>
        <w:rPr>
          <w:rFonts w:hint="eastAsia" w:cs="Calibri"/>
        </w:rPr>
        <w:t>由团队全部承担。</w:t>
      </w:r>
    </w:p>
    <w:p w14:paraId="6752B148">
      <w:pPr>
        <w:rPr>
          <w:rFonts w:cs="Calibri"/>
        </w:rPr>
      </w:pPr>
      <w:r>
        <w:rPr>
          <w:rFonts w:hint="eastAsia" w:cs="Calibri"/>
        </w:rPr>
        <w:t>2</w:t>
      </w:r>
      <w:r>
        <w:rPr>
          <w:rFonts w:cs="Calibri"/>
        </w:rPr>
        <w:t>8</w:t>
      </w:r>
      <w:r>
        <w:rPr>
          <w:rFonts w:hint="eastAsia" w:cs="Calibri"/>
        </w:rPr>
        <w:t>.团队应无条件遵守学校各部门制定的物业管理及其它各项规章制度。</w:t>
      </w:r>
    </w:p>
    <w:p w14:paraId="3987EBC2">
      <w:pPr>
        <w:pStyle w:val="4"/>
      </w:pPr>
      <w:r>
        <w:rPr>
          <w:rFonts w:hint="eastAsia"/>
        </w:rPr>
        <w:t>第五条 运营管理</w:t>
      </w:r>
    </w:p>
    <w:p w14:paraId="52565803">
      <w:r>
        <w:t>1.</w:t>
      </w:r>
      <w:r>
        <w:rPr>
          <w:rFonts w:hint="eastAsia"/>
        </w:rPr>
        <w:t>团队项目经营应符合社会道德价值观念。</w:t>
      </w:r>
    </w:p>
    <w:p w14:paraId="6A14B497">
      <w:r>
        <w:t>2</w:t>
      </w:r>
      <w:r>
        <w:rPr>
          <w:rFonts w:hint="eastAsia"/>
        </w:rPr>
        <w:t>.团队不得以任何形式进行违法活动及运营违法违规项目。</w:t>
      </w:r>
    </w:p>
    <w:p w14:paraId="0FA5058A">
      <w:r>
        <w:t>3.</w:t>
      </w:r>
      <w:r>
        <w:rPr>
          <w:rFonts w:hint="eastAsia"/>
        </w:rPr>
        <w:t>团队项目运营过程中所产生的责任及相关后果由团队独立承担。</w:t>
      </w:r>
    </w:p>
    <w:p w14:paraId="63C264E0">
      <w:r>
        <w:rPr>
          <w:rFonts w:hint="eastAsia"/>
        </w:rPr>
        <w:t>4</w:t>
      </w:r>
      <w:r>
        <w:t>.</w:t>
      </w:r>
      <w:r>
        <w:rPr>
          <w:rFonts w:hint="eastAsia"/>
        </w:rPr>
        <w:t>未经允许团队不得使用校徽、校标、创院院徽以及“华师”、“创院”等字样。</w:t>
      </w:r>
    </w:p>
    <w:p w14:paraId="3F50A816">
      <w:r>
        <w:t>5.</w:t>
      </w:r>
      <w:r>
        <w:rPr>
          <w:rFonts w:hint="eastAsia"/>
        </w:rPr>
        <w:t>在项目运营过程中，未经允许不得以学校及创业学院名义实施宣传及进行商业活动。</w:t>
      </w:r>
    </w:p>
    <w:p w14:paraId="18946DA9">
      <w:r>
        <w:t>6.如需</w:t>
      </w:r>
      <w:r>
        <w:rPr>
          <w:rFonts w:hint="eastAsia"/>
        </w:rPr>
        <w:t>在基地</w:t>
      </w:r>
      <w:r>
        <w:t>举办</w:t>
      </w:r>
      <w:r>
        <w:rPr>
          <w:rFonts w:hint="eastAsia"/>
        </w:rPr>
        <w:t>商业宣传活动、招聘活动以及</w:t>
      </w:r>
      <w:r>
        <w:t>创业活动等，须提前提出书面申请，</w:t>
      </w:r>
      <w:r>
        <w:rPr>
          <w:rFonts w:hint="eastAsia"/>
        </w:rPr>
        <w:t>在审批通过后方可使用场地及设备。</w:t>
      </w:r>
    </w:p>
    <w:p w14:paraId="04366AF1">
      <w:r>
        <w:rPr>
          <w:rFonts w:hint="eastAsia"/>
        </w:rPr>
        <w:t>7</w:t>
      </w:r>
      <w:r>
        <w:t>.</w:t>
      </w:r>
      <w:r>
        <w:rPr>
          <w:rFonts w:hint="eastAsia"/>
        </w:rPr>
        <w:t>原则上每只团队只经营一项项目活动，项目之间相互独立。</w:t>
      </w:r>
    </w:p>
    <w:p w14:paraId="07E3A8B7">
      <w:r>
        <w:rPr>
          <w:rFonts w:hint="eastAsia"/>
        </w:rPr>
        <w:t>8</w:t>
      </w:r>
      <w:r>
        <w:t>.</w:t>
      </w:r>
      <w:r>
        <w:rPr>
          <w:rFonts w:hint="eastAsia"/>
        </w:rPr>
        <w:t>团队不得随意更变团队、项目及注册企业名称，名称更变须向创业学院提出申请，申请通过后方可更变。</w:t>
      </w:r>
    </w:p>
    <w:p w14:paraId="59F36B40">
      <w:r>
        <w:t>9.</w:t>
      </w:r>
      <w:r>
        <w:rPr>
          <w:rFonts w:hint="eastAsia"/>
        </w:rPr>
        <w:t>团队不得随意更变项目成员，成员更变须向创业学院提交更变后的《团队成员信息表》及新成员简历，经审核后方可更变。</w:t>
      </w:r>
    </w:p>
    <w:p w14:paraId="2FEF4A47">
      <w:r>
        <w:t>10.团队不得超出入驻申报的业务范围进行经营，需要拓展经营项目时须提前向创业学院提交《项目经营范围变更备案表》，经审核通过后方可变更。</w:t>
      </w:r>
    </w:p>
    <w:p w14:paraId="313CCC9B">
      <w:r>
        <w:t>11.</w:t>
      </w:r>
      <w:r>
        <w:rPr>
          <w:rFonts w:hint="eastAsia"/>
        </w:rPr>
        <w:t>团队需无条件接受基地定期的团队孵化情况访查，并按照要求填写《团队孵化发展情况表》，超过2个月未填写表格或3个月内未取得任何成果的将取消入驻、入库资格。</w:t>
      </w:r>
    </w:p>
    <w:p w14:paraId="2D894A71">
      <w:r>
        <w:t>12.</w:t>
      </w:r>
      <w:r>
        <w:rPr>
          <w:rFonts w:hint="eastAsia"/>
        </w:rPr>
        <w:t>须按要求参加基地团队期中、期末考核，考核通过后团队方可获得下期入驻、入库资格；若考核未通过则取消下期入驻、入库资格。未按要求参加学期审核的将视为自动退出。</w:t>
      </w:r>
      <w:bookmarkStart w:id="4" w:name="_Toc100428207"/>
    </w:p>
    <w:p w14:paraId="2299A4D2"/>
    <w:p w14:paraId="204C126A">
      <w:pPr>
        <w:pStyle w:val="3"/>
        <w:rPr>
          <w:rFonts w:cs="Times New Roman"/>
        </w:rPr>
      </w:pPr>
      <w:r>
        <w:rPr>
          <w:rFonts w:hint="eastAsia"/>
        </w:rPr>
        <w:t>二、团队用电情况管理标准</w:t>
      </w:r>
      <w:bookmarkEnd w:id="4"/>
      <w:bookmarkStart w:id="5" w:name="_Toc100428208"/>
    </w:p>
    <w:p w14:paraId="23A32D74">
      <w:pPr>
        <w:pStyle w:val="4"/>
      </w:pPr>
      <w:r>
        <w:rPr>
          <w:rFonts w:hint="eastAsia"/>
        </w:rPr>
        <w:t>第一条 节约用电管理标准</w:t>
      </w:r>
      <w:bookmarkEnd w:id="5"/>
    </w:p>
    <w:p w14:paraId="2C03062E">
      <w:r>
        <w:rPr>
          <w:rFonts w:hint="eastAsia"/>
        </w:rPr>
        <w:t>1</w:t>
      </w:r>
      <w:r>
        <w:t>.</w:t>
      </w:r>
      <w:r>
        <w:rPr>
          <w:rFonts w:hint="eastAsia"/>
        </w:rPr>
        <w:t>团队在基地使用电器设备时，需秉承节约用电原则。</w:t>
      </w:r>
    </w:p>
    <w:p w14:paraId="4A289F4A">
      <w:r>
        <w:rPr>
          <w:rFonts w:hint="eastAsia"/>
        </w:rPr>
        <w:t>2</w:t>
      </w:r>
      <w:r>
        <w:t>.</w:t>
      </w:r>
      <w:r>
        <w:rPr>
          <w:rFonts w:hint="eastAsia"/>
        </w:rPr>
        <w:t>在白天光照充足情况下，减少室内照明灯等电器的使用。</w:t>
      </w:r>
    </w:p>
    <w:p w14:paraId="4AD01FB6">
      <w:r>
        <w:rPr>
          <w:rFonts w:hint="eastAsia"/>
        </w:rPr>
        <w:t>3</w:t>
      </w:r>
      <w:r>
        <w:t>.</w:t>
      </w:r>
      <w:r>
        <w:rPr>
          <w:rFonts w:hint="eastAsia"/>
        </w:rPr>
        <w:t>非必要电器设备在长时间闲置状态下，需关闭电器开关并断开电源。</w:t>
      </w:r>
    </w:p>
    <w:p w14:paraId="18E70E97">
      <w:r>
        <w:t>4.</w:t>
      </w:r>
      <w:r>
        <w:rPr>
          <w:rFonts w:hint="eastAsia"/>
        </w:rPr>
        <w:t>禁止在办公场地长时间无人的情况下持续开启室内照明灯、空调以及其他用电设备。</w:t>
      </w:r>
    </w:p>
    <w:p w14:paraId="39A39985">
      <w:r>
        <w:t>5.</w:t>
      </w:r>
      <w:r>
        <w:rPr>
          <w:rFonts w:hint="eastAsia"/>
        </w:rPr>
        <w:t>计算机、传真机、打印机、饮水机、碎纸机等办公设备在不使用时应当关机，减少待机耗电。</w:t>
      </w:r>
    </w:p>
    <w:p w14:paraId="769A2993">
      <w:r>
        <w:t>6.</w:t>
      </w:r>
      <w:r>
        <w:rPr>
          <w:rFonts w:hint="eastAsia"/>
        </w:rPr>
        <w:t>团队成员需离开办公场地时间大于2</w:t>
      </w:r>
      <w:r>
        <w:t>0</w:t>
      </w:r>
      <w:r>
        <w:rPr>
          <w:rFonts w:hint="eastAsia"/>
        </w:rPr>
        <w:t>分钟时，需关闭场地室内照明灯、空调、风扇等用电设备。</w:t>
      </w:r>
    </w:p>
    <w:p w14:paraId="38785FEF">
      <w:r>
        <w:t>7.</w:t>
      </w:r>
      <w:r>
        <w:rPr>
          <w:rFonts w:hint="eastAsia"/>
        </w:rPr>
        <w:t>团队在结束办公离开场地前，须关闭电脑主机、显示器、空调、室内照明灯等用电等用电设备，并关闭总电闸。</w:t>
      </w:r>
    </w:p>
    <w:p w14:paraId="0BCD6DD3">
      <w:r>
        <w:t>8.</w:t>
      </w:r>
      <w:r>
        <w:rPr>
          <w:rFonts w:hint="eastAsia"/>
        </w:rPr>
        <w:t>晚上助理已下班且团队为最后一个离开的队伍时，离开前须巡视基地一周，检查室内照明灯光以及空调设备以及其他团队工位、公共办公场地用电设备是否全部关闭，在全部确认关闭后方可离开。</w:t>
      </w:r>
      <w:bookmarkStart w:id="6" w:name="_Toc100428209"/>
    </w:p>
    <w:p w14:paraId="1CC49BDA">
      <w:pPr>
        <w:pStyle w:val="4"/>
      </w:pPr>
      <w:r>
        <w:rPr>
          <w:rFonts w:hint="eastAsia"/>
        </w:rPr>
        <w:t>第二条 安全用电管理标准</w:t>
      </w:r>
      <w:bookmarkEnd w:id="6"/>
    </w:p>
    <w:p w14:paraId="4DCD9ED8">
      <w:pPr>
        <w:rPr>
          <w:lang w:val="el-GR"/>
        </w:rPr>
      </w:pPr>
      <w:r>
        <w:rPr>
          <w:rFonts w:hint="eastAsia"/>
        </w:rPr>
        <w:t>1</w:t>
      </w:r>
      <w:r>
        <w:t>.</w:t>
      </w:r>
      <w:r>
        <w:rPr>
          <w:rFonts w:hint="eastAsia"/>
          <w:lang w:val="el-GR"/>
        </w:rPr>
        <w:t>未经允许，禁止在基地使用功率大于5</w:t>
      </w:r>
      <w:r>
        <w:rPr>
          <w:lang w:val="el-GR"/>
        </w:rPr>
        <w:t>00</w:t>
      </w:r>
      <w:r>
        <w:rPr>
          <w:rFonts w:hint="eastAsia"/>
          <w:lang w:val="el-GR"/>
        </w:rPr>
        <w:t>w的大功率电器设备。</w:t>
      </w:r>
    </w:p>
    <w:p w14:paraId="7863DA32">
      <w:pPr>
        <w:rPr>
          <w:lang w:val="el-GR"/>
        </w:rPr>
      </w:pPr>
      <w:r>
        <w:rPr>
          <w:lang w:val="el-GR"/>
        </w:rPr>
        <w:t>2.</w:t>
      </w:r>
      <w:r>
        <w:rPr>
          <w:rFonts w:hint="eastAsia"/>
          <w:lang w:val="el-GR"/>
        </w:rPr>
        <w:t>未经允许，禁止在基地使用电烙铁、热风枪、加热台、热熔枪等热源工具设备。</w:t>
      </w:r>
    </w:p>
    <w:p w14:paraId="64DE7B40">
      <w:pPr>
        <w:rPr>
          <w:lang w:val="el-GR"/>
        </w:rPr>
      </w:pPr>
      <w:r>
        <w:rPr>
          <w:lang w:val="el-GR"/>
        </w:rPr>
        <w:t>3.</w:t>
      </w:r>
      <w:r>
        <w:rPr>
          <w:rFonts w:hint="eastAsia"/>
          <w:lang w:val="el-GR"/>
        </w:rPr>
        <w:t>禁止在基地使用电热水袋、加热毯、电暖器、微波炉等大功率加热型电器设备。</w:t>
      </w:r>
    </w:p>
    <w:p w14:paraId="6CAD304F">
      <w:pPr>
        <w:rPr>
          <w:rFonts w:cs="仿宋"/>
        </w:rPr>
      </w:pPr>
      <w:r>
        <w:rPr>
          <w:lang w:val="el-GR"/>
        </w:rPr>
        <w:t>4.</w:t>
      </w:r>
      <w:r>
        <w:rPr>
          <w:rFonts w:hint="eastAsia" w:cs="仿宋"/>
        </w:rPr>
        <w:t>禁止私接、改动及损坏基地电源线路。</w:t>
      </w:r>
    </w:p>
    <w:p w14:paraId="30DABA95">
      <w:pPr>
        <w:rPr>
          <w:rFonts w:cs="仿宋"/>
        </w:rPr>
      </w:pPr>
      <w:r>
        <w:rPr>
          <w:rFonts w:cs="仿宋"/>
        </w:rPr>
        <w:t>5.</w:t>
      </w:r>
      <w:r>
        <w:rPr>
          <w:rFonts w:hint="eastAsia" w:cs="仿宋"/>
        </w:rPr>
        <w:t>禁止私自维修、更换及改造基地电源设备。</w:t>
      </w:r>
    </w:p>
    <w:p w14:paraId="6E29401A">
      <w:pPr>
        <w:rPr>
          <w:rFonts w:cs="仿宋"/>
        </w:rPr>
      </w:pPr>
      <w:r>
        <w:rPr>
          <w:rFonts w:cs="仿宋"/>
        </w:rPr>
        <w:t>6.</w:t>
      </w:r>
      <w:r>
        <w:rPr>
          <w:rFonts w:hint="eastAsia" w:cs="仿宋"/>
        </w:rPr>
        <w:t>禁止在同一电源插座接入1个以上的排插。</w:t>
      </w:r>
    </w:p>
    <w:p w14:paraId="428237C6">
      <w:pPr>
        <w:rPr>
          <w:rFonts w:cs="仿宋"/>
        </w:rPr>
      </w:pPr>
      <w:r>
        <w:rPr>
          <w:rFonts w:cs="仿宋"/>
        </w:rPr>
        <w:t>7.</w:t>
      </w:r>
      <w:r>
        <w:rPr>
          <w:rFonts w:hint="eastAsia" w:cs="仿宋"/>
        </w:rPr>
        <w:t>禁止在电源接口、易发热电器旁堆放杂物。</w:t>
      </w:r>
    </w:p>
    <w:p w14:paraId="0F43FBE6">
      <w:pPr>
        <w:rPr>
          <w:rFonts w:cs="仿宋"/>
        </w:rPr>
      </w:pPr>
      <w:r>
        <w:rPr>
          <w:rFonts w:cs="仿宋"/>
        </w:rPr>
        <w:t>8.</w:t>
      </w:r>
      <w:r>
        <w:rPr>
          <w:rFonts w:hint="eastAsia" w:cs="仿宋"/>
        </w:rPr>
        <w:t>禁止在基地内给电动滑板、电动车及其电池等一切蓄电池设备充电。</w:t>
      </w:r>
    </w:p>
    <w:p w14:paraId="5C91D64E">
      <w:pPr>
        <w:rPr>
          <w:rFonts w:cs="仿宋"/>
        </w:rPr>
      </w:pPr>
      <w:r>
        <w:rPr>
          <w:rFonts w:cs="仿宋"/>
        </w:rPr>
        <w:t>9.</w:t>
      </w:r>
      <w:r>
        <w:rPr>
          <w:rFonts w:hint="eastAsia" w:cs="仿宋"/>
        </w:rPr>
        <w:t>禁止使用劣质、老旧、存在故障以及没有达到安全标准的用电设备。</w:t>
      </w:r>
    </w:p>
    <w:p w14:paraId="296B53EF">
      <w:pPr>
        <w:rPr>
          <w:rFonts w:cs="仿宋"/>
        </w:rPr>
      </w:pPr>
      <w:r>
        <w:rPr>
          <w:rFonts w:cs="仿宋"/>
        </w:rPr>
        <w:t>10.</w:t>
      </w:r>
      <w:r>
        <w:rPr>
          <w:rFonts w:hint="eastAsia" w:cs="仿宋"/>
        </w:rPr>
        <w:t>同一电源插座接入电器总功率应小于2</w:t>
      </w:r>
      <w:r>
        <w:rPr>
          <w:rFonts w:cs="仿宋"/>
        </w:rPr>
        <w:t>000</w:t>
      </w:r>
      <w:r>
        <w:rPr>
          <w:rFonts w:hint="eastAsia" w:cs="仿宋"/>
        </w:rPr>
        <w:t>w。</w:t>
      </w:r>
    </w:p>
    <w:p w14:paraId="54898461">
      <w:pPr>
        <w:rPr>
          <w:lang w:val="el-GR"/>
        </w:rPr>
      </w:pPr>
      <w:r>
        <w:rPr>
          <w:lang w:val="el-GR"/>
        </w:rPr>
        <w:t>11.</w:t>
      </w:r>
      <w:r>
        <w:rPr>
          <w:rFonts w:hint="eastAsia" w:cs="仿宋"/>
        </w:rPr>
        <w:t>团队负责人应定期对所属区域电源线路及用电设备设施进行自检。</w:t>
      </w:r>
    </w:p>
    <w:p w14:paraId="29677EEA">
      <w:pPr>
        <w:rPr>
          <w:lang w:val="el-GR"/>
        </w:rPr>
      </w:pPr>
      <w:r>
        <w:rPr>
          <w:lang w:val="el-GR"/>
        </w:rPr>
        <w:t>12.</w:t>
      </w:r>
      <w:r>
        <w:rPr>
          <w:rFonts w:hint="eastAsia"/>
          <w:lang w:val="el-GR"/>
        </w:rPr>
        <w:t>极端天气须尽量减少用电设备，关闭电器，做好用电设备的安全管理工作。</w:t>
      </w:r>
    </w:p>
    <w:p w14:paraId="2AFBB57F">
      <w:pPr>
        <w:rPr>
          <w:lang w:val="el-GR"/>
        </w:rPr>
      </w:pPr>
      <w:r>
        <w:rPr>
          <w:lang w:val="el-GR"/>
        </w:rPr>
        <w:t>13.</w:t>
      </w:r>
      <w:r>
        <w:rPr>
          <w:rFonts w:hint="eastAsia"/>
          <w:lang w:val="el-GR"/>
        </w:rPr>
        <w:t>团队须严格遵守学校各项用电管理办法，无条件接受用电情况检查，保障用电安全。</w:t>
      </w:r>
    </w:p>
    <w:p w14:paraId="36BB5813">
      <w:pPr>
        <w:rPr>
          <w:lang w:val="el-GR"/>
        </w:rPr>
      </w:pPr>
      <w:r>
        <w:rPr>
          <w:lang w:val="el-GR"/>
        </w:rPr>
        <w:t>14.</w:t>
      </w:r>
      <w:r>
        <w:rPr>
          <w:rFonts w:hint="eastAsia"/>
          <w:lang w:val="el-GR"/>
        </w:rPr>
        <w:t>若因团队用电不当导致的一切财产损失、生命健康权损失，由过失团队承担全部责任。</w:t>
      </w:r>
    </w:p>
    <w:p w14:paraId="1DE77293">
      <w:pPr>
        <w:rPr>
          <w:rFonts w:ascii="宋体-简" w:hAnsi="宋体-简" w:eastAsia="宋体-简" w:cs="仿宋"/>
          <w:bCs/>
        </w:rPr>
      </w:pPr>
    </w:p>
    <w:p w14:paraId="6876A616">
      <w:pPr>
        <w:pStyle w:val="3"/>
        <w:rPr>
          <w:rFonts w:ascii="等线" w:hAnsi="等线"/>
        </w:rPr>
      </w:pPr>
      <w:bookmarkStart w:id="7" w:name="_Toc100428203"/>
      <w:r>
        <w:rPr>
          <w:rFonts w:hint="eastAsia"/>
        </w:rPr>
        <w:t>三、</w:t>
      </w:r>
      <w:r>
        <w:t>团队卫生管理标准</w:t>
      </w:r>
      <w:bookmarkEnd w:id="7"/>
    </w:p>
    <w:p w14:paraId="3B3E42C9">
      <w:pPr>
        <w:pStyle w:val="4"/>
      </w:pPr>
      <w:bookmarkStart w:id="8" w:name="_Toc100428204"/>
      <w:r>
        <w:rPr>
          <w:rFonts w:hint="eastAsia"/>
        </w:rPr>
        <w:t>第一条 整体卫生</w:t>
      </w:r>
      <w:bookmarkEnd w:id="8"/>
    </w:p>
    <w:p w14:paraId="6E756D91">
      <w:r>
        <w:rPr>
          <w:rFonts w:hint="eastAsia"/>
        </w:rPr>
        <w:t>1</w:t>
      </w:r>
      <w:r>
        <w:t>.</w:t>
      </w:r>
      <w:r>
        <w:rPr>
          <w:rFonts w:hint="eastAsia"/>
        </w:rPr>
        <w:t>禁止携带零食、水果、外卖等任何食品进入基地。</w:t>
      </w:r>
    </w:p>
    <w:p w14:paraId="17FAB878">
      <w:r>
        <w:rPr>
          <w:rFonts w:hint="eastAsia"/>
        </w:rPr>
        <w:t>2</w:t>
      </w:r>
      <w:r>
        <w:t>.</w:t>
      </w:r>
      <w:r>
        <w:rPr>
          <w:rFonts w:hint="eastAsia"/>
        </w:rPr>
        <w:t>禁止在基地任何范围内食用零食、水果、外卖等任何食品。</w:t>
      </w:r>
    </w:p>
    <w:p w14:paraId="3849EB6C">
      <w:r>
        <w:rPr>
          <w:rFonts w:hint="eastAsia"/>
        </w:rPr>
        <w:t>3</w:t>
      </w:r>
      <w:r>
        <w:t>.</w:t>
      </w:r>
      <w:r>
        <w:rPr>
          <w:rFonts w:hint="eastAsia"/>
        </w:rPr>
        <w:t>禁止携带有强烈刺激性气味的物品进入基地。</w:t>
      </w:r>
    </w:p>
    <w:p w14:paraId="3E24B7CA">
      <w:r>
        <w:t>4.</w:t>
      </w:r>
      <w:r>
        <w:rPr>
          <w:rFonts w:hint="eastAsia"/>
        </w:rPr>
        <w:t>禁止在基地进行洗漱、洗头、沐浴等行为。</w:t>
      </w:r>
    </w:p>
    <w:p w14:paraId="62642337">
      <w:r>
        <w:t>5.</w:t>
      </w:r>
      <w:r>
        <w:rPr>
          <w:rFonts w:hint="eastAsia"/>
        </w:rPr>
        <w:t>禁止在垃圾桶内倾倒茶水、果汁、饮料等液体。</w:t>
      </w:r>
    </w:p>
    <w:p w14:paraId="4CBC946D">
      <w:r>
        <w:t>6.</w:t>
      </w:r>
      <w:r>
        <w:rPr>
          <w:rFonts w:hint="eastAsia"/>
        </w:rPr>
        <w:t>禁止长期在公共区域存放、储存私人物品。</w:t>
      </w:r>
    </w:p>
    <w:p w14:paraId="360C366A">
      <w:r>
        <w:t>7.</w:t>
      </w:r>
      <w:r>
        <w:rPr>
          <w:rFonts w:hint="eastAsia"/>
        </w:rPr>
        <w:t>禁止在基地内禁烟区、办公区等区域吸烟（含电子烟）。</w:t>
      </w:r>
    </w:p>
    <w:p w14:paraId="2A57F106">
      <w:r>
        <w:t>8.</w:t>
      </w:r>
      <w:r>
        <w:rPr>
          <w:rFonts w:hint="eastAsia"/>
        </w:rPr>
        <w:t>禁止在基地内随意吐痰、扔垃圾、烟头以及堆放物品等。</w:t>
      </w:r>
    </w:p>
    <w:p w14:paraId="37BC5300">
      <w:r>
        <w:t>9.</w:t>
      </w:r>
      <w:r>
        <w:rPr>
          <w:rFonts w:hint="eastAsia"/>
        </w:rPr>
        <w:t>禁止在垃圾桶旁边堆放垃圾、纸皮箱、书籍、饮料瓶罐等。</w:t>
      </w:r>
    </w:p>
    <w:p w14:paraId="2C38617E">
      <w:r>
        <w:t>10.</w:t>
      </w:r>
      <w:r>
        <w:rPr>
          <w:rFonts w:hint="eastAsia"/>
        </w:rPr>
        <w:t>禁止在基地内丢弃易腐臭、有刺激性气味、易招惹蚊蝇老鼠蟑螂等的物体。</w:t>
      </w:r>
    </w:p>
    <w:p w14:paraId="669E1DD1">
      <w:r>
        <w:t>11.</w:t>
      </w:r>
      <w:r>
        <w:rPr>
          <w:rFonts w:hint="eastAsia"/>
        </w:rPr>
        <w:t>禁止在洗手池内倾倒茶叶、咖啡渣以及其他冷凝性液体、固体、难溶性粉末等。</w:t>
      </w:r>
    </w:p>
    <w:p w14:paraId="47EAEB0A">
      <w:r>
        <w:t>12.</w:t>
      </w:r>
      <w:r>
        <w:rPr>
          <w:rFonts w:hint="eastAsia"/>
        </w:rPr>
        <w:t>未经允许，禁止在基地内墙面、地板等粘贴、挂置及涂画等。</w:t>
      </w:r>
    </w:p>
    <w:p w14:paraId="794F678D">
      <w:r>
        <w:t>13.</w:t>
      </w:r>
      <w:r>
        <w:rPr>
          <w:rFonts w:hint="eastAsia"/>
        </w:rPr>
        <w:t>团队办公结束后，须将垃圾投弃在基地大门共用垃圾桶内。</w:t>
      </w:r>
    </w:p>
    <w:p w14:paraId="71902029">
      <w:r>
        <w:rPr>
          <w:rFonts w:hint="eastAsia"/>
        </w:rPr>
        <w:t>1</w:t>
      </w:r>
      <w:r>
        <w:t>4.</w:t>
      </w:r>
      <w:r>
        <w:rPr>
          <w:rFonts w:hint="eastAsia"/>
        </w:rPr>
        <w:t>若基地公用垃圾桶已满时，须移步至楼下学北12对面回收点分类丢弃。</w:t>
      </w:r>
    </w:p>
    <w:p w14:paraId="3BB91D5D">
      <w:r>
        <w:t>15.</w:t>
      </w:r>
      <w:r>
        <w:rPr>
          <w:rFonts w:hint="eastAsia"/>
        </w:rPr>
        <w:t>如纸皮箱、饮料瓶罐等需折叠、压缩后方可丢弃至垃圾桶内，以免占用空间。</w:t>
      </w:r>
    </w:p>
    <w:p w14:paraId="3AB6EC1A">
      <w:r>
        <w:rPr>
          <w:rFonts w:hint="eastAsia"/>
        </w:rPr>
        <w:t>1</w:t>
      </w:r>
      <w:r>
        <w:t>6.</w:t>
      </w:r>
      <w:r>
        <w:rPr>
          <w:rFonts w:hint="eastAsia"/>
        </w:rPr>
        <w:t>团队有有义务保持基地卫生整洁，发现存在卫生问题须向助理反馈并主动解决。</w:t>
      </w:r>
      <w:bookmarkStart w:id="9" w:name="_Toc100428205"/>
    </w:p>
    <w:p w14:paraId="419920AC">
      <w:pPr>
        <w:pStyle w:val="4"/>
      </w:pPr>
      <w:r>
        <w:rPr>
          <w:rFonts w:hint="eastAsia"/>
        </w:rPr>
        <w:t>第二条 团队工位卫生</w:t>
      </w:r>
      <w:bookmarkEnd w:id="9"/>
    </w:p>
    <w:p w14:paraId="3A2FD673">
      <w:r>
        <w:rPr>
          <w:rFonts w:hint="eastAsia"/>
        </w:rPr>
        <w:t>1</w:t>
      </w:r>
      <w:r>
        <w:t>.</w:t>
      </w:r>
      <w:r>
        <w:rPr>
          <w:rFonts w:hint="eastAsia"/>
        </w:rPr>
        <w:t>团队成员应负责好各自办公区域的日常卫生管理。</w:t>
      </w:r>
    </w:p>
    <w:p w14:paraId="43190915">
      <w:r>
        <w:rPr>
          <w:rFonts w:hint="eastAsia"/>
        </w:rPr>
        <w:t>2</w:t>
      </w:r>
      <w:r>
        <w:t>.</w:t>
      </w:r>
      <w:r>
        <w:rPr>
          <w:rFonts w:hint="eastAsia"/>
        </w:rPr>
        <w:t>保持办公区域的整洁有序，保证地面上无灰尘、油渍、纸屑、杂物等。</w:t>
      </w:r>
    </w:p>
    <w:p w14:paraId="3166BFFF">
      <w:r>
        <w:rPr>
          <w:rFonts w:hint="eastAsia"/>
        </w:rPr>
        <w:t>2.办公桌上不得放置与工作无关物品，桌面文具、文件摆放需整齐有序。</w:t>
      </w:r>
    </w:p>
    <w:p w14:paraId="2088CAEE">
      <w:r>
        <w:rPr>
          <w:rFonts w:hint="eastAsia"/>
        </w:rPr>
        <w:t>3.电脑、电器、电源线、网线、排插等须捆扎收束，不得杂乱无章抛落在地上。</w:t>
      </w:r>
    </w:p>
    <w:p w14:paraId="21C26FDC">
      <w:r>
        <w:rPr>
          <w:rFonts w:hint="eastAsia"/>
        </w:rPr>
        <w:t>4.禁止在基地工位上存放包装袋、快递盒、使用后的纸巾、草稿纸等垃圾。</w:t>
      </w:r>
    </w:p>
    <w:p w14:paraId="20CE9AA8">
      <w:r>
        <w:rPr>
          <w:rFonts w:hint="eastAsia"/>
        </w:rPr>
        <w:t>5</w:t>
      </w:r>
      <w:r>
        <w:t>.</w:t>
      </w:r>
      <w:r>
        <w:rPr>
          <w:rFonts w:hint="eastAsia"/>
        </w:rPr>
        <w:t>工位垃圾桶须每天倾倒，禁止不处理过夜。</w:t>
      </w:r>
    </w:p>
    <w:p w14:paraId="54321326">
      <w:r>
        <w:rPr>
          <w:rFonts w:hint="eastAsia"/>
        </w:rPr>
        <w:t>5.工作区内的椅子摆放整齐，不用时放回原处；</w:t>
      </w:r>
    </w:p>
    <w:p w14:paraId="6523C07F">
      <w:r>
        <w:rPr>
          <w:rFonts w:hint="eastAsia"/>
        </w:rPr>
        <w:t>6.保证天花板无破损、蜘蛛网等；</w:t>
      </w:r>
    </w:p>
    <w:p w14:paraId="3E77B70A">
      <w:r>
        <w:rPr>
          <w:rFonts w:hint="eastAsia"/>
        </w:rPr>
        <w:t>7.桌面茶杯需及时清理，需干净无茶渍以及隔夜茶叶；</w:t>
      </w:r>
    </w:p>
    <w:p w14:paraId="22909CF4">
      <w:r>
        <w:rPr>
          <w:rFonts w:hint="eastAsia"/>
        </w:rPr>
        <w:t>8.下班后要关闭空调、日光灯、饮水机、电脑主机和显示屏并锁好门窗。</w:t>
      </w:r>
      <w:bookmarkStart w:id="10" w:name="_Toc100428206"/>
    </w:p>
    <w:p w14:paraId="560C2606"/>
    <w:p w14:paraId="4514EBDC"/>
    <w:p w14:paraId="32941633">
      <w:pPr>
        <w:pStyle w:val="4"/>
      </w:pPr>
      <w:r>
        <w:rPr>
          <w:rFonts w:hint="eastAsia"/>
        </w:rPr>
        <w:t>第三条 共享办公区卫生</w:t>
      </w:r>
      <w:bookmarkEnd w:id="10"/>
    </w:p>
    <w:p w14:paraId="36CDA2E6">
      <w:r>
        <w:rPr>
          <w:rFonts w:hint="eastAsia"/>
        </w:rPr>
        <w:t>1.借用共享办公区需要保证借用场地的卫生，离开时保证地面以及桌子的整洁。</w:t>
      </w:r>
    </w:p>
    <w:p w14:paraId="299B996B">
      <w:r>
        <w:rPr>
          <w:rFonts w:hint="eastAsia"/>
        </w:rPr>
        <w:t>2</w:t>
      </w:r>
      <w:r>
        <w:t>.</w:t>
      </w:r>
      <w:r>
        <w:rPr>
          <w:rFonts w:hint="eastAsia"/>
        </w:rPr>
        <w:t>离开共享办公区时要关闭相应的场地设备、空调、灯并锁好门窗。</w:t>
      </w:r>
    </w:p>
    <w:p w14:paraId="52DD88C8">
      <w:r>
        <w:rPr>
          <w:rFonts w:hint="eastAsia"/>
        </w:rPr>
        <w:t>3</w:t>
      </w:r>
      <w:r>
        <w:t>.</w:t>
      </w:r>
      <w:r>
        <w:rPr>
          <w:rFonts w:hint="eastAsia"/>
        </w:rPr>
        <w:t>离开共享办公区时需将桌椅整齐摆放恢复原样。</w:t>
      </w:r>
    </w:p>
    <w:p w14:paraId="1B0A3F7F">
      <w:r>
        <w:rPr>
          <w:rFonts w:hint="eastAsia"/>
        </w:rPr>
        <w:t>4</w:t>
      </w:r>
      <w:r>
        <w:t>.</w:t>
      </w:r>
      <w:r>
        <w:rPr>
          <w:rFonts w:hint="eastAsia"/>
        </w:rPr>
        <w:t>离开共享办公区时需要带走自己的私人物品。</w:t>
      </w:r>
    </w:p>
    <w:p w14:paraId="68A47293">
      <w:r>
        <w:rPr>
          <w:rFonts w:hint="eastAsia"/>
        </w:rPr>
        <w:t>5</w:t>
      </w:r>
      <w:r>
        <w:t>.</w:t>
      </w:r>
      <w:r>
        <w:rPr>
          <w:rFonts w:hint="eastAsia"/>
        </w:rPr>
        <w:t>禁止在共享办公区放置自己的私人物品。</w:t>
      </w:r>
    </w:p>
    <w:p w14:paraId="7C33C373">
      <w:pPr>
        <w:rPr>
          <w:rFonts w:ascii="宋体-简" w:hAnsi="宋体-简" w:eastAsia="宋体-简"/>
          <w:bCs/>
        </w:rPr>
      </w:pPr>
    </w:p>
    <w:p w14:paraId="63374EC5">
      <w:pPr>
        <w:pStyle w:val="3"/>
      </w:pPr>
      <w:r>
        <w:rPr>
          <w:rFonts w:hint="eastAsia"/>
        </w:rPr>
        <w:t>四、基地疫情管理标准</w:t>
      </w:r>
      <w:bookmarkEnd w:id="1"/>
      <w:bookmarkStart w:id="11" w:name="_Toc100428190"/>
    </w:p>
    <w:p w14:paraId="073BC4DA">
      <w:pPr>
        <w:pStyle w:val="4"/>
      </w:pPr>
      <w:r>
        <w:rPr>
          <w:rFonts w:hint="eastAsia"/>
        </w:rPr>
        <w:t>第一条 进出管理标准</w:t>
      </w:r>
      <w:bookmarkEnd w:id="11"/>
    </w:p>
    <w:p w14:paraId="43ED4ABD">
      <w:r>
        <w:rPr>
          <w:rFonts w:hint="eastAsia"/>
        </w:rPr>
        <w:t>1.团队成员进入创院应当佩戴工作证和口罩，主动出示证件配合助理登记信息。</w:t>
      </w:r>
    </w:p>
    <w:p w14:paraId="08295DB7">
      <w:r>
        <w:rPr>
          <w:rFonts w:hint="eastAsia"/>
        </w:rPr>
        <w:t>2.团队成员需主动扫基地场所码，并向出示健康码以及行程卡。</w:t>
      </w:r>
    </w:p>
    <w:p w14:paraId="58C3BA70">
      <w:r>
        <w:rPr>
          <w:rFonts w:hint="eastAsia"/>
        </w:rPr>
        <w:t>3.进入基地须登记个人信息并配合值班助理测量体温，体温正常方可进入创院。</w:t>
      </w:r>
    </w:p>
    <w:p w14:paraId="2C138234">
      <w:r>
        <w:rPr>
          <w:rFonts w:hint="eastAsia"/>
        </w:rPr>
        <w:t>4</w:t>
      </w:r>
      <w:r>
        <w:t>.</w:t>
      </w:r>
      <w:r>
        <w:rPr>
          <w:rFonts w:hint="eastAsia"/>
        </w:rPr>
        <w:t>禁止非绿码人员进入基地。</w:t>
      </w:r>
    </w:p>
    <w:p w14:paraId="7D188DA8">
      <w:r>
        <w:rPr>
          <w:rFonts w:hint="eastAsia"/>
        </w:rPr>
        <w:t>5</w:t>
      </w:r>
      <w:r>
        <w:t>.</w:t>
      </w:r>
      <w:r>
        <w:rPr>
          <w:rFonts w:hint="eastAsia"/>
        </w:rPr>
        <w:t>禁止行程卡带有星号的人员进入基地。</w:t>
      </w:r>
    </w:p>
    <w:p w14:paraId="79B1558F">
      <w:r>
        <w:rPr>
          <w:rFonts w:hint="eastAsia"/>
        </w:rPr>
        <w:t>6</w:t>
      </w:r>
      <w:r>
        <w:t>.</w:t>
      </w:r>
      <w:r>
        <w:rPr>
          <w:rFonts w:hint="eastAsia"/>
        </w:rPr>
        <w:t>禁止在中高风险区到访或逗留过的人员进入基地。</w:t>
      </w:r>
    </w:p>
    <w:p w14:paraId="6082B6E1">
      <w:r>
        <w:rPr>
          <w:rFonts w:hint="eastAsia"/>
        </w:rPr>
        <w:t>7</w:t>
      </w:r>
      <w:r>
        <w:t>.</w:t>
      </w:r>
      <w:r>
        <w:rPr>
          <w:rFonts w:hint="eastAsia"/>
        </w:rPr>
        <w:t>禁止发热、咳嗽等存在潜在疫情感染症状人员进入基地。</w:t>
      </w:r>
    </w:p>
    <w:p w14:paraId="3C089C79">
      <w:r>
        <w:rPr>
          <w:rFonts w:hint="eastAsia"/>
        </w:rPr>
        <w:t>8</w:t>
      </w:r>
      <w:r>
        <w:t>.</w:t>
      </w:r>
      <w:r>
        <w:rPr>
          <w:rFonts w:hint="eastAsia"/>
        </w:rPr>
        <w:t>未经允许，禁止携带非团队校内成员进入基地。</w:t>
      </w:r>
    </w:p>
    <w:p w14:paraId="1EEDE2E0">
      <w:r>
        <w:t>8.</w:t>
      </w:r>
      <w:r>
        <w:rPr>
          <w:rFonts w:hint="eastAsia"/>
        </w:rPr>
        <w:t>未经允许，禁止以任何理由携带校外人员进入基地。</w:t>
      </w:r>
    </w:p>
    <w:p w14:paraId="2EDE53AD">
      <w:r>
        <w:t>9</w:t>
      </w:r>
      <w:r>
        <w:rPr>
          <w:rFonts w:hint="eastAsia"/>
        </w:rPr>
        <w:t>.团队成员须主动配合以上进出管理标准，不配合者将视为违规登记行为。</w:t>
      </w:r>
      <w:bookmarkStart w:id="12" w:name="_Toc100428191"/>
    </w:p>
    <w:p w14:paraId="294FC617">
      <w:pPr>
        <w:pStyle w:val="4"/>
      </w:pPr>
      <w:r>
        <w:rPr>
          <w:rFonts w:hint="eastAsia"/>
        </w:rPr>
        <w:t>第二条 日常疫情防控管理标准</w:t>
      </w:r>
      <w:bookmarkEnd w:id="12"/>
    </w:p>
    <w:p w14:paraId="56684269">
      <w:r>
        <w:rPr>
          <w:rFonts w:hint="eastAsia"/>
        </w:rPr>
        <w:t>1</w:t>
      </w:r>
      <w:r>
        <w:t>.</w:t>
      </w:r>
      <w:r>
        <w:rPr>
          <w:rFonts w:hint="eastAsia"/>
        </w:rPr>
        <w:t>团队须每周完成内部成员两码及健康状况自检工作。</w:t>
      </w:r>
    </w:p>
    <w:p w14:paraId="0AECEE4D">
      <w:r>
        <w:rPr>
          <w:rFonts w:hint="eastAsia"/>
        </w:rPr>
        <w:t>2</w:t>
      </w:r>
      <w:r>
        <w:t>.</w:t>
      </w:r>
      <w:r>
        <w:rPr>
          <w:rFonts w:hint="eastAsia"/>
        </w:rPr>
        <w:t>团队成员进入基地须如实登记《来访人员信息登记表》，并扫基地场所码登记。</w:t>
      </w:r>
    </w:p>
    <w:p w14:paraId="487543AC">
      <w:r>
        <w:rPr>
          <w:rFonts w:hint="eastAsia"/>
        </w:rPr>
        <w:t>3</w:t>
      </w:r>
      <w:r>
        <w:t>.</w:t>
      </w:r>
      <w:r>
        <w:rPr>
          <w:rFonts w:hint="eastAsia"/>
        </w:rPr>
        <w:t>非团队校内成员进入基地须提前向助理进行审报，并提供姓名、专业、学号、手机号码以及两码，在核查无误后方可进入基地。</w:t>
      </w:r>
    </w:p>
    <w:p w14:paraId="24C0C629">
      <w:r>
        <w:rPr>
          <w:rFonts w:hint="eastAsia"/>
        </w:rPr>
        <w:t>4</w:t>
      </w:r>
      <w:r>
        <w:t>.</w:t>
      </w:r>
      <w:r>
        <w:rPr>
          <w:rFonts w:hint="eastAsia"/>
        </w:rPr>
        <w:t>团队非校内成员须每周向助理提交两码进行审报，且申报通过并在手机上收有通行短讯后方可进入基地。</w:t>
      </w:r>
    </w:p>
    <w:p w14:paraId="17CFFF03">
      <w:r>
        <w:rPr>
          <w:rFonts w:hint="eastAsia"/>
        </w:rPr>
        <w:t>5</w:t>
      </w:r>
      <w:r>
        <w:t>.</w:t>
      </w:r>
      <w:r>
        <w:rPr>
          <w:rFonts w:hint="eastAsia"/>
        </w:rPr>
        <w:t>校外人员进入基地须至少提前一天向助理提交姓名、手机号、身份证、车牌号以及两码，且申报手机号须与形成卡显示手机号一致，两码日期与申报日期一致。</w:t>
      </w:r>
    </w:p>
    <w:p w14:paraId="25226A62">
      <w:r>
        <w:rPr>
          <w:rFonts w:hint="eastAsia"/>
        </w:rPr>
        <w:t>6</w:t>
      </w:r>
      <w:r>
        <w:t>.</w:t>
      </w:r>
      <w:r>
        <w:rPr>
          <w:rFonts w:hint="eastAsia"/>
        </w:rPr>
        <w:t>若团队成员近期存在健康状况异常、或收到疫情防控管理机构通知短信，须按照地方及学校疫情防控管理办法上报，并暂停到校办公。</w:t>
      </w:r>
    </w:p>
    <w:p w14:paraId="7010E048">
      <w:pPr>
        <w:pStyle w:val="4"/>
      </w:pPr>
      <w:r>
        <w:rPr>
          <w:rFonts w:hint="eastAsia"/>
        </w:rPr>
        <w:t>第三条 假期疫情防控管理标准</w:t>
      </w:r>
    </w:p>
    <w:p w14:paraId="44317E09">
      <w:r>
        <w:rPr>
          <w:rFonts w:hint="eastAsia"/>
        </w:rPr>
        <w:t>1</w:t>
      </w:r>
      <w:r>
        <w:t>.</w:t>
      </w:r>
      <w:r>
        <w:rPr>
          <w:rFonts w:hint="eastAsia"/>
        </w:rPr>
        <w:t>未经允许，禁止团队在假期期间擅自进出基地。</w:t>
      </w:r>
    </w:p>
    <w:p w14:paraId="49C83532">
      <w:r>
        <w:rPr>
          <w:rFonts w:hint="eastAsia"/>
        </w:rPr>
        <w:t>2</w:t>
      </w:r>
      <w:r>
        <w:t>.</w:t>
      </w:r>
      <w:r>
        <w:rPr>
          <w:rFonts w:hint="eastAsia"/>
        </w:rPr>
        <w:t>假期期间，团队须在基地规定时间内进行办公活动。</w:t>
      </w:r>
    </w:p>
    <w:p w14:paraId="7932FD9F">
      <w:r>
        <w:rPr>
          <w:rFonts w:hint="eastAsia"/>
        </w:rPr>
        <w:t>3</w:t>
      </w:r>
      <w:r>
        <w:t>.</w:t>
      </w:r>
      <w:r>
        <w:rPr>
          <w:rFonts w:hint="eastAsia"/>
        </w:rPr>
        <w:t>假期留校办公，团队须事先登记《假期留校办公人员登记表》。</w:t>
      </w:r>
    </w:p>
    <w:p w14:paraId="4C667EB6">
      <w:r>
        <w:t>4</w:t>
      </w:r>
      <w:r>
        <w:rPr>
          <w:rFonts w:hint="eastAsia"/>
        </w:rPr>
        <w:t>.假期留校办公期间，校内团队成员须每周审报健康状况及两码2次。</w:t>
      </w:r>
    </w:p>
    <w:p w14:paraId="60059766">
      <w:r>
        <w:rPr>
          <w:rFonts w:hint="eastAsia"/>
        </w:rPr>
        <w:t>5</w:t>
      </w:r>
      <w:r>
        <w:t>.</w:t>
      </w:r>
      <w:r>
        <w:rPr>
          <w:rFonts w:hint="eastAsia"/>
        </w:rPr>
        <w:t>假期留校办公期间，校外团队成员须每天申报健康状况及两码。</w:t>
      </w:r>
    </w:p>
    <w:p w14:paraId="2CB407E8">
      <w:r>
        <w:t>6.</w:t>
      </w:r>
      <w:r>
        <w:rPr>
          <w:rFonts w:hint="eastAsia"/>
        </w:rPr>
        <w:t>假期留校办公期间，禁止未通过申报校外人员进入基地办公。</w:t>
      </w:r>
    </w:p>
    <w:p w14:paraId="3F43E4CA">
      <w:r>
        <w:rPr>
          <w:rFonts w:hint="eastAsia"/>
        </w:rPr>
        <w:t>7</w:t>
      </w:r>
      <w:r>
        <w:t>.</w:t>
      </w:r>
      <w:r>
        <w:rPr>
          <w:rFonts w:hint="eastAsia"/>
        </w:rPr>
        <w:t>假期留校办公其他疫情防控管理办法遵循基地日常疫情防控管理办法。</w:t>
      </w:r>
    </w:p>
    <w:p w14:paraId="54700439">
      <w:pPr>
        <w:rPr>
          <w:rFonts w:ascii="宋体-简" w:hAnsi="宋体-简" w:eastAsia="宋体-简"/>
          <w:bCs/>
        </w:rPr>
      </w:pPr>
      <w:bookmarkStart w:id="13" w:name="_Toc100428193"/>
    </w:p>
    <w:p w14:paraId="7A231CB5">
      <w:pPr>
        <w:pStyle w:val="3"/>
      </w:pPr>
      <w:r>
        <w:rPr>
          <w:rFonts w:hint="eastAsia"/>
        </w:rPr>
        <w:t>五、团队孵化考核标准</w:t>
      </w:r>
      <w:bookmarkEnd w:id="13"/>
    </w:p>
    <w:p w14:paraId="18A7456A">
      <w:pPr>
        <w:pStyle w:val="4"/>
      </w:pPr>
      <w:bookmarkStart w:id="14" w:name="_Toc100428194"/>
      <w:r>
        <w:rPr>
          <w:rFonts w:hint="eastAsia"/>
        </w:rPr>
        <w:t>第一条 团队考核及原始赋分标准</w:t>
      </w:r>
    </w:p>
    <w:p w14:paraId="6F46967D">
      <w:r>
        <w:rPr>
          <w:rFonts w:hint="eastAsia"/>
        </w:rPr>
        <w:t>1</w:t>
      </w:r>
      <w:r>
        <w:t>.</w:t>
      </w:r>
      <w:r>
        <w:rPr>
          <w:rFonts w:hint="eastAsia"/>
        </w:rPr>
        <w:t>基地团队考核分为三板块，孵化成果考核、项目运营考核及日常事项考核。</w:t>
      </w:r>
    </w:p>
    <w:p w14:paraId="3DD08885">
      <w:r>
        <w:rPr>
          <w:rFonts w:hint="eastAsia"/>
        </w:rPr>
        <w:t>2</w:t>
      </w:r>
      <w:r>
        <w:t>.</w:t>
      </w:r>
      <w:r>
        <w:rPr>
          <w:rFonts w:hint="eastAsia"/>
        </w:rPr>
        <w:t>基地团队考核板块分值占比情况分别为：孵化成果考核4</w:t>
      </w:r>
      <w:r>
        <w:t>0%</w:t>
      </w:r>
      <w:r>
        <w:rPr>
          <w:rFonts w:hint="eastAsia"/>
        </w:rPr>
        <w:t>，项目运营考核</w:t>
      </w:r>
      <w:r>
        <w:t>30%</w:t>
      </w:r>
      <w:r>
        <w:rPr>
          <w:rFonts w:hint="eastAsia"/>
        </w:rPr>
        <w:t>，日常事项考核3</w:t>
      </w:r>
      <w:r>
        <w:t>0%</w:t>
      </w:r>
      <w:r>
        <w:rPr>
          <w:rFonts w:hint="eastAsia"/>
        </w:rPr>
        <w:t>。</w:t>
      </w:r>
    </w:p>
    <w:p w14:paraId="6B67FA97">
      <w:r>
        <w:rPr>
          <w:rFonts w:hint="eastAsia"/>
        </w:rPr>
        <w:t>3</w:t>
      </w:r>
      <w:r>
        <w:t>.</w:t>
      </w:r>
      <w:r>
        <w:rPr>
          <w:rFonts w:hint="eastAsia"/>
        </w:rPr>
        <w:t>考核原始赋分均8</w:t>
      </w:r>
      <w:r>
        <w:t>0</w:t>
      </w:r>
      <w:r>
        <w:rPr>
          <w:rFonts w:hint="eastAsia"/>
        </w:rPr>
        <w:t>分，考核结果最高1</w:t>
      </w:r>
      <w:r>
        <w:t>00</w:t>
      </w:r>
      <w:r>
        <w:rPr>
          <w:rFonts w:hint="eastAsia"/>
        </w:rPr>
        <w:t>分，最低0分，及格6</w:t>
      </w:r>
      <w:r>
        <w:t>0</w:t>
      </w:r>
      <w:r>
        <w:rPr>
          <w:rFonts w:hint="eastAsia"/>
        </w:rPr>
        <w:t>分，最终考核总成绩以各板块最终得分跟进分值占比折合加总后得到。</w:t>
      </w:r>
    </w:p>
    <w:p w14:paraId="098157A9">
      <w:r>
        <w:rPr>
          <w:rFonts w:hint="eastAsia"/>
        </w:rPr>
        <w:t>4</w:t>
      </w:r>
      <w:r>
        <w:t>.</w:t>
      </w:r>
      <w:r>
        <w:rPr>
          <w:rFonts w:hint="eastAsia"/>
        </w:rPr>
        <w:t>团队需在三板块考核均通过后方可认定考核成绩及格，若存在其中一项板块考核未及格，则直接认定考核总成绩为6</w:t>
      </w:r>
      <w:r>
        <w:t>0</w:t>
      </w:r>
      <w:r>
        <w:rPr>
          <w:rFonts w:hint="eastAsia"/>
        </w:rPr>
        <w:t>分，若其他考核项成绩低于</w:t>
      </w:r>
      <w:r>
        <w:t>60</w:t>
      </w:r>
      <w:r>
        <w:rPr>
          <w:rFonts w:hint="eastAsia"/>
        </w:rPr>
        <w:t>分，则认定考核总成绩不合格。</w:t>
      </w:r>
    </w:p>
    <w:p w14:paraId="180CAB5C">
      <w:pPr>
        <w:pStyle w:val="4"/>
      </w:pPr>
      <w:r>
        <w:rPr>
          <w:rFonts w:hint="eastAsia"/>
        </w:rPr>
        <w:t>第二条 参与创新创业比赛情况</w:t>
      </w:r>
      <w:bookmarkEnd w:id="14"/>
    </w:p>
    <w:p w14:paraId="6B459EA8">
      <w:r>
        <w:rPr>
          <w:rFonts w:hint="eastAsia"/>
        </w:rPr>
        <w:t>1</w:t>
      </w:r>
      <w:r>
        <w:t>.</w:t>
      </w:r>
      <w:r>
        <w:rPr>
          <w:rFonts w:hint="eastAsia"/>
        </w:rPr>
        <w:t>团队携入驻项目参与创新创业相关比赛并获得奖项，参照下表按照不同级别进行加分。若该比赛等级划分情况与下表不同，则按照实际情况进行同等换算。</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223"/>
        <w:gridCol w:w="1223"/>
        <w:gridCol w:w="1223"/>
        <w:gridCol w:w="1089"/>
      </w:tblGrid>
      <w:tr w14:paraId="6C90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223" w:type="dxa"/>
            <w:tcBorders>
              <w:top w:val="single" w:color="auto" w:sz="4" w:space="0"/>
              <w:left w:val="single" w:color="auto" w:sz="4" w:space="0"/>
              <w:bottom w:val="single" w:color="auto" w:sz="4" w:space="0"/>
              <w:right w:val="single" w:color="auto" w:sz="4" w:space="0"/>
            </w:tcBorders>
          </w:tcPr>
          <w:p w14:paraId="4A25F7FD">
            <w:pPr>
              <w:jc w:val="center"/>
              <w:rPr>
                <w:b/>
                <w:kern w:val="0"/>
              </w:rPr>
            </w:pPr>
            <w:r>
              <w:rPr>
                <w:rFonts w:hint="eastAsia"/>
                <w:b/>
                <w:kern w:val="0"/>
              </w:rPr>
              <w:t>级别</w:t>
            </w:r>
          </w:p>
        </w:tc>
        <w:tc>
          <w:tcPr>
            <w:tcW w:w="1223" w:type="dxa"/>
            <w:tcBorders>
              <w:top w:val="single" w:color="auto" w:sz="4" w:space="0"/>
              <w:left w:val="single" w:color="auto" w:sz="4" w:space="0"/>
              <w:bottom w:val="single" w:color="auto" w:sz="4" w:space="0"/>
              <w:right w:val="single" w:color="auto" w:sz="4" w:space="0"/>
            </w:tcBorders>
          </w:tcPr>
          <w:p w14:paraId="5E1286B3">
            <w:pPr>
              <w:jc w:val="center"/>
              <w:rPr>
                <w:b/>
                <w:kern w:val="0"/>
              </w:rPr>
            </w:pPr>
            <w:r>
              <w:rPr>
                <w:rFonts w:hint="eastAsia"/>
                <w:b/>
                <w:kern w:val="0"/>
              </w:rPr>
              <w:t>一等奖</w:t>
            </w:r>
          </w:p>
        </w:tc>
        <w:tc>
          <w:tcPr>
            <w:tcW w:w="1223" w:type="dxa"/>
            <w:tcBorders>
              <w:top w:val="single" w:color="auto" w:sz="4" w:space="0"/>
              <w:left w:val="single" w:color="auto" w:sz="4" w:space="0"/>
              <w:bottom w:val="single" w:color="auto" w:sz="4" w:space="0"/>
              <w:right w:val="single" w:color="auto" w:sz="4" w:space="0"/>
            </w:tcBorders>
          </w:tcPr>
          <w:p w14:paraId="6F70DA5E">
            <w:pPr>
              <w:jc w:val="center"/>
              <w:rPr>
                <w:b/>
                <w:kern w:val="0"/>
              </w:rPr>
            </w:pPr>
            <w:r>
              <w:rPr>
                <w:rFonts w:hint="eastAsia"/>
                <w:b/>
                <w:kern w:val="0"/>
              </w:rPr>
              <w:t>二等奖</w:t>
            </w:r>
          </w:p>
        </w:tc>
        <w:tc>
          <w:tcPr>
            <w:tcW w:w="1223" w:type="dxa"/>
            <w:tcBorders>
              <w:top w:val="single" w:color="auto" w:sz="4" w:space="0"/>
              <w:left w:val="single" w:color="auto" w:sz="4" w:space="0"/>
              <w:bottom w:val="single" w:color="auto" w:sz="4" w:space="0"/>
              <w:right w:val="single" w:color="auto" w:sz="4" w:space="0"/>
            </w:tcBorders>
          </w:tcPr>
          <w:p w14:paraId="6ACA5080">
            <w:pPr>
              <w:jc w:val="center"/>
              <w:rPr>
                <w:b/>
                <w:kern w:val="0"/>
              </w:rPr>
            </w:pPr>
            <w:r>
              <w:rPr>
                <w:rFonts w:hint="eastAsia"/>
                <w:b/>
                <w:kern w:val="0"/>
              </w:rPr>
              <w:t>三等奖</w:t>
            </w:r>
          </w:p>
        </w:tc>
        <w:tc>
          <w:tcPr>
            <w:tcW w:w="1089" w:type="dxa"/>
            <w:tcBorders>
              <w:top w:val="single" w:color="auto" w:sz="4" w:space="0"/>
              <w:left w:val="single" w:color="auto" w:sz="4" w:space="0"/>
              <w:bottom w:val="single" w:color="auto" w:sz="4" w:space="0"/>
              <w:right w:val="single" w:color="auto" w:sz="4" w:space="0"/>
            </w:tcBorders>
          </w:tcPr>
          <w:p w14:paraId="7263F4DD">
            <w:pPr>
              <w:jc w:val="center"/>
              <w:rPr>
                <w:b/>
                <w:kern w:val="0"/>
              </w:rPr>
            </w:pPr>
            <w:r>
              <w:rPr>
                <w:rFonts w:hint="eastAsia"/>
                <w:b/>
                <w:kern w:val="0"/>
              </w:rPr>
              <w:t>优胜奖</w:t>
            </w:r>
          </w:p>
        </w:tc>
      </w:tr>
      <w:tr w14:paraId="7FEA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223" w:type="dxa"/>
            <w:tcBorders>
              <w:top w:val="single" w:color="auto" w:sz="4" w:space="0"/>
              <w:left w:val="single" w:color="auto" w:sz="4" w:space="0"/>
              <w:bottom w:val="single" w:color="auto" w:sz="4" w:space="0"/>
              <w:right w:val="single" w:color="auto" w:sz="4" w:space="0"/>
            </w:tcBorders>
          </w:tcPr>
          <w:p w14:paraId="4375D54B">
            <w:pPr>
              <w:jc w:val="center"/>
              <w:rPr>
                <w:b/>
                <w:kern w:val="0"/>
              </w:rPr>
            </w:pPr>
            <w:r>
              <w:rPr>
                <w:rFonts w:hint="eastAsia"/>
                <w:b/>
                <w:kern w:val="0"/>
              </w:rPr>
              <w:t>国家级</w:t>
            </w:r>
          </w:p>
        </w:tc>
        <w:tc>
          <w:tcPr>
            <w:tcW w:w="1223" w:type="dxa"/>
            <w:tcBorders>
              <w:top w:val="single" w:color="auto" w:sz="4" w:space="0"/>
              <w:left w:val="single" w:color="auto" w:sz="4" w:space="0"/>
              <w:bottom w:val="single" w:color="auto" w:sz="4" w:space="0"/>
              <w:right w:val="single" w:color="auto" w:sz="4" w:space="0"/>
            </w:tcBorders>
          </w:tcPr>
          <w:p w14:paraId="2CF17EFA">
            <w:pPr>
              <w:jc w:val="center"/>
              <w:rPr>
                <w:kern w:val="0"/>
              </w:rPr>
            </w:pPr>
            <w:r>
              <w:rPr>
                <w:rFonts w:hint="eastAsia"/>
                <w:kern w:val="0"/>
              </w:rPr>
              <w:t>2</w:t>
            </w:r>
            <w:r>
              <w:rPr>
                <w:kern w:val="0"/>
              </w:rPr>
              <w:t>0</w:t>
            </w:r>
          </w:p>
        </w:tc>
        <w:tc>
          <w:tcPr>
            <w:tcW w:w="1223" w:type="dxa"/>
            <w:tcBorders>
              <w:top w:val="single" w:color="auto" w:sz="4" w:space="0"/>
              <w:left w:val="single" w:color="auto" w:sz="4" w:space="0"/>
              <w:bottom w:val="single" w:color="auto" w:sz="4" w:space="0"/>
              <w:right w:val="single" w:color="auto" w:sz="4" w:space="0"/>
            </w:tcBorders>
          </w:tcPr>
          <w:p w14:paraId="4E69242B">
            <w:pPr>
              <w:jc w:val="center"/>
              <w:rPr>
                <w:kern w:val="0"/>
              </w:rPr>
            </w:pPr>
            <w:r>
              <w:rPr>
                <w:rFonts w:hint="eastAsia"/>
                <w:kern w:val="0"/>
              </w:rPr>
              <w:t>1</w:t>
            </w:r>
            <w:r>
              <w:rPr>
                <w:kern w:val="0"/>
              </w:rPr>
              <w:t>5</w:t>
            </w:r>
          </w:p>
        </w:tc>
        <w:tc>
          <w:tcPr>
            <w:tcW w:w="1223" w:type="dxa"/>
            <w:tcBorders>
              <w:top w:val="single" w:color="auto" w:sz="4" w:space="0"/>
              <w:left w:val="single" w:color="auto" w:sz="4" w:space="0"/>
              <w:bottom w:val="single" w:color="auto" w:sz="4" w:space="0"/>
              <w:right w:val="single" w:color="auto" w:sz="4" w:space="0"/>
            </w:tcBorders>
          </w:tcPr>
          <w:p w14:paraId="0CAD321A">
            <w:pPr>
              <w:jc w:val="center"/>
              <w:rPr>
                <w:kern w:val="0"/>
              </w:rPr>
            </w:pPr>
            <w:r>
              <w:rPr>
                <w:rFonts w:hint="eastAsia"/>
                <w:kern w:val="0"/>
              </w:rPr>
              <w:t>1</w:t>
            </w:r>
            <w:r>
              <w:rPr>
                <w:kern w:val="0"/>
              </w:rPr>
              <w:t>3</w:t>
            </w:r>
          </w:p>
        </w:tc>
        <w:tc>
          <w:tcPr>
            <w:tcW w:w="1089" w:type="dxa"/>
            <w:tcBorders>
              <w:top w:val="single" w:color="auto" w:sz="4" w:space="0"/>
              <w:left w:val="single" w:color="auto" w:sz="4" w:space="0"/>
              <w:bottom w:val="single" w:color="auto" w:sz="4" w:space="0"/>
              <w:right w:val="single" w:color="auto" w:sz="4" w:space="0"/>
            </w:tcBorders>
          </w:tcPr>
          <w:p w14:paraId="4394366D">
            <w:pPr>
              <w:jc w:val="center"/>
              <w:rPr>
                <w:kern w:val="0"/>
              </w:rPr>
            </w:pPr>
            <w:r>
              <w:rPr>
                <w:rFonts w:hint="eastAsia"/>
                <w:kern w:val="0"/>
              </w:rPr>
              <w:t>1</w:t>
            </w:r>
            <w:r>
              <w:rPr>
                <w:kern w:val="0"/>
              </w:rPr>
              <w:t>0</w:t>
            </w:r>
          </w:p>
        </w:tc>
      </w:tr>
      <w:tr w14:paraId="1ACA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223" w:type="dxa"/>
            <w:tcBorders>
              <w:top w:val="single" w:color="auto" w:sz="4" w:space="0"/>
              <w:left w:val="single" w:color="auto" w:sz="4" w:space="0"/>
              <w:bottom w:val="single" w:color="auto" w:sz="4" w:space="0"/>
              <w:right w:val="single" w:color="auto" w:sz="4" w:space="0"/>
            </w:tcBorders>
          </w:tcPr>
          <w:p w14:paraId="005A4D08">
            <w:pPr>
              <w:jc w:val="center"/>
              <w:rPr>
                <w:b/>
                <w:kern w:val="0"/>
              </w:rPr>
            </w:pPr>
            <w:r>
              <w:rPr>
                <w:rFonts w:hint="eastAsia"/>
                <w:b/>
                <w:kern w:val="0"/>
              </w:rPr>
              <w:t>省部级</w:t>
            </w:r>
          </w:p>
        </w:tc>
        <w:tc>
          <w:tcPr>
            <w:tcW w:w="1223" w:type="dxa"/>
            <w:tcBorders>
              <w:top w:val="single" w:color="auto" w:sz="4" w:space="0"/>
              <w:left w:val="single" w:color="auto" w:sz="4" w:space="0"/>
              <w:bottom w:val="single" w:color="auto" w:sz="4" w:space="0"/>
              <w:right w:val="single" w:color="auto" w:sz="4" w:space="0"/>
            </w:tcBorders>
          </w:tcPr>
          <w:p w14:paraId="6A08B03F">
            <w:pPr>
              <w:jc w:val="center"/>
              <w:rPr>
                <w:kern w:val="0"/>
              </w:rPr>
            </w:pPr>
            <w:r>
              <w:rPr>
                <w:rFonts w:hint="eastAsia"/>
                <w:kern w:val="0"/>
              </w:rPr>
              <w:t>1</w:t>
            </w:r>
            <w:r>
              <w:rPr>
                <w:kern w:val="0"/>
              </w:rPr>
              <w:t>0</w:t>
            </w:r>
          </w:p>
        </w:tc>
        <w:tc>
          <w:tcPr>
            <w:tcW w:w="1223" w:type="dxa"/>
            <w:tcBorders>
              <w:top w:val="single" w:color="auto" w:sz="4" w:space="0"/>
              <w:left w:val="single" w:color="auto" w:sz="4" w:space="0"/>
              <w:bottom w:val="single" w:color="auto" w:sz="4" w:space="0"/>
              <w:right w:val="single" w:color="auto" w:sz="4" w:space="0"/>
            </w:tcBorders>
          </w:tcPr>
          <w:p w14:paraId="053A07C4">
            <w:pPr>
              <w:jc w:val="center"/>
              <w:rPr>
                <w:kern w:val="0"/>
              </w:rPr>
            </w:pPr>
            <w:r>
              <w:rPr>
                <w:rFonts w:hint="eastAsia"/>
                <w:kern w:val="0"/>
              </w:rPr>
              <w:t>9</w:t>
            </w:r>
          </w:p>
        </w:tc>
        <w:tc>
          <w:tcPr>
            <w:tcW w:w="1223" w:type="dxa"/>
            <w:tcBorders>
              <w:top w:val="single" w:color="auto" w:sz="4" w:space="0"/>
              <w:left w:val="single" w:color="auto" w:sz="4" w:space="0"/>
              <w:bottom w:val="single" w:color="auto" w:sz="4" w:space="0"/>
              <w:right w:val="single" w:color="auto" w:sz="4" w:space="0"/>
            </w:tcBorders>
          </w:tcPr>
          <w:p w14:paraId="70D9EAA8">
            <w:pPr>
              <w:jc w:val="center"/>
              <w:rPr>
                <w:kern w:val="0"/>
              </w:rPr>
            </w:pPr>
            <w:r>
              <w:rPr>
                <w:rFonts w:hint="eastAsia"/>
                <w:kern w:val="0"/>
              </w:rPr>
              <w:t>8</w:t>
            </w:r>
          </w:p>
        </w:tc>
        <w:tc>
          <w:tcPr>
            <w:tcW w:w="1089" w:type="dxa"/>
            <w:tcBorders>
              <w:top w:val="single" w:color="auto" w:sz="4" w:space="0"/>
              <w:left w:val="single" w:color="auto" w:sz="4" w:space="0"/>
              <w:bottom w:val="single" w:color="auto" w:sz="4" w:space="0"/>
              <w:right w:val="single" w:color="auto" w:sz="4" w:space="0"/>
            </w:tcBorders>
          </w:tcPr>
          <w:p w14:paraId="53B93054">
            <w:pPr>
              <w:jc w:val="center"/>
              <w:rPr>
                <w:kern w:val="0"/>
              </w:rPr>
            </w:pPr>
            <w:r>
              <w:rPr>
                <w:rFonts w:hint="eastAsia"/>
                <w:kern w:val="0"/>
              </w:rPr>
              <w:t>5</w:t>
            </w:r>
          </w:p>
        </w:tc>
      </w:tr>
      <w:tr w14:paraId="5D43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223" w:type="dxa"/>
            <w:tcBorders>
              <w:top w:val="single" w:color="auto" w:sz="4" w:space="0"/>
              <w:left w:val="single" w:color="auto" w:sz="4" w:space="0"/>
              <w:bottom w:val="single" w:color="auto" w:sz="4" w:space="0"/>
              <w:right w:val="single" w:color="auto" w:sz="4" w:space="0"/>
            </w:tcBorders>
          </w:tcPr>
          <w:p w14:paraId="65723CB4">
            <w:pPr>
              <w:jc w:val="center"/>
              <w:rPr>
                <w:b/>
                <w:kern w:val="0"/>
              </w:rPr>
            </w:pPr>
            <w:r>
              <w:rPr>
                <w:rFonts w:hint="eastAsia"/>
                <w:b/>
                <w:kern w:val="0"/>
              </w:rPr>
              <w:t>市级</w:t>
            </w:r>
          </w:p>
        </w:tc>
        <w:tc>
          <w:tcPr>
            <w:tcW w:w="1223" w:type="dxa"/>
            <w:tcBorders>
              <w:top w:val="single" w:color="auto" w:sz="4" w:space="0"/>
              <w:left w:val="single" w:color="auto" w:sz="4" w:space="0"/>
              <w:bottom w:val="single" w:color="auto" w:sz="4" w:space="0"/>
              <w:right w:val="single" w:color="auto" w:sz="4" w:space="0"/>
            </w:tcBorders>
          </w:tcPr>
          <w:p w14:paraId="6797A502">
            <w:pPr>
              <w:jc w:val="center"/>
              <w:rPr>
                <w:kern w:val="0"/>
              </w:rPr>
            </w:pPr>
            <w:r>
              <w:rPr>
                <w:rFonts w:hint="eastAsia"/>
                <w:kern w:val="0"/>
              </w:rPr>
              <w:t>6</w:t>
            </w:r>
          </w:p>
        </w:tc>
        <w:tc>
          <w:tcPr>
            <w:tcW w:w="1223" w:type="dxa"/>
            <w:tcBorders>
              <w:top w:val="single" w:color="auto" w:sz="4" w:space="0"/>
              <w:left w:val="single" w:color="auto" w:sz="4" w:space="0"/>
              <w:bottom w:val="single" w:color="auto" w:sz="4" w:space="0"/>
              <w:right w:val="single" w:color="auto" w:sz="4" w:space="0"/>
            </w:tcBorders>
          </w:tcPr>
          <w:p w14:paraId="5FEAF0EF">
            <w:pPr>
              <w:jc w:val="center"/>
              <w:rPr>
                <w:kern w:val="0"/>
              </w:rPr>
            </w:pPr>
            <w:r>
              <w:rPr>
                <w:rFonts w:hint="eastAsia"/>
                <w:kern w:val="0"/>
              </w:rPr>
              <w:t>5</w:t>
            </w:r>
          </w:p>
        </w:tc>
        <w:tc>
          <w:tcPr>
            <w:tcW w:w="1223" w:type="dxa"/>
            <w:tcBorders>
              <w:top w:val="single" w:color="auto" w:sz="4" w:space="0"/>
              <w:left w:val="single" w:color="auto" w:sz="4" w:space="0"/>
              <w:bottom w:val="single" w:color="auto" w:sz="4" w:space="0"/>
              <w:right w:val="single" w:color="auto" w:sz="4" w:space="0"/>
            </w:tcBorders>
          </w:tcPr>
          <w:p w14:paraId="24D25031">
            <w:pPr>
              <w:jc w:val="center"/>
              <w:rPr>
                <w:kern w:val="0"/>
              </w:rPr>
            </w:pPr>
            <w:r>
              <w:rPr>
                <w:rFonts w:hint="eastAsia"/>
                <w:kern w:val="0"/>
              </w:rPr>
              <w:t>4</w:t>
            </w:r>
          </w:p>
        </w:tc>
        <w:tc>
          <w:tcPr>
            <w:tcW w:w="1089" w:type="dxa"/>
            <w:tcBorders>
              <w:top w:val="single" w:color="auto" w:sz="4" w:space="0"/>
              <w:left w:val="single" w:color="auto" w:sz="4" w:space="0"/>
              <w:bottom w:val="single" w:color="auto" w:sz="4" w:space="0"/>
              <w:right w:val="single" w:color="auto" w:sz="4" w:space="0"/>
            </w:tcBorders>
          </w:tcPr>
          <w:p w14:paraId="5714917B">
            <w:pPr>
              <w:jc w:val="center"/>
              <w:rPr>
                <w:kern w:val="0"/>
              </w:rPr>
            </w:pPr>
            <w:r>
              <w:rPr>
                <w:rFonts w:hint="eastAsia"/>
                <w:kern w:val="0"/>
              </w:rPr>
              <w:t>3</w:t>
            </w:r>
          </w:p>
        </w:tc>
      </w:tr>
      <w:tr w14:paraId="2349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223" w:type="dxa"/>
            <w:tcBorders>
              <w:top w:val="single" w:color="auto" w:sz="4" w:space="0"/>
              <w:left w:val="single" w:color="auto" w:sz="4" w:space="0"/>
              <w:bottom w:val="single" w:color="auto" w:sz="4" w:space="0"/>
              <w:right w:val="single" w:color="auto" w:sz="4" w:space="0"/>
            </w:tcBorders>
          </w:tcPr>
          <w:p w14:paraId="28664A6D">
            <w:pPr>
              <w:jc w:val="center"/>
              <w:rPr>
                <w:b/>
                <w:kern w:val="0"/>
              </w:rPr>
            </w:pPr>
            <w:r>
              <w:rPr>
                <w:rFonts w:hint="eastAsia"/>
                <w:b/>
                <w:kern w:val="0"/>
              </w:rPr>
              <w:t>区级</w:t>
            </w:r>
          </w:p>
        </w:tc>
        <w:tc>
          <w:tcPr>
            <w:tcW w:w="1223" w:type="dxa"/>
            <w:tcBorders>
              <w:top w:val="single" w:color="auto" w:sz="4" w:space="0"/>
              <w:left w:val="single" w:color="auto" w:sz="4" w:space="0"/>
              <w:bottom w:val="single" w:color="auto" w:sz="4" w:space="0"/>
              <w:right w:val="single" w:color="auto" w:sz="4" w:space="0"/>
            </w:tcBorders>
          </w:tcPr>
          <w:p w14:paraId="21F60BC6">
            <w:pPr>
              <w:jc w:val="center"/>
              <w:rPr>
                <w:kern w:val="0"/>
              </w:rPr>
            </w:pPr>
            <w:r>
              <w:rPr>
                <w:rFonts w:hint="eastAsia"/>
                <w:kern w:val="0"/>
              </w:rPr>
              <w:t>5</w:t>
            </w:r>
          </w:p>
        </w:tc>
        <w:tc>
          <w:tcPr>
            <w:tcW w:w="1223" w:type="dxa"/>
            <w:tcBorders>
              <w:top w:val="single" w:color="auto" w:sz="4" w:space="0"/>
              <w:left w:val="single" w:color="auto" w:sz="4" w:space="0"/>
              <w:bottom w:val="single" w:color="auto" w:sz="4" w:space="0"/>
              <w:right w:val="single" w:color="auto" w:sz="4" w:space="0"/>
            </w:tcBorders>
          </w:tcPr>
          <w:p w14:paraId="7FC4C9CE">
            <w:pPr>
              <w:jc w:val="center"/>
              <w:rPr>
                <w:kern w:val="0"/>
              </w:rPr>
            </w:pPr>
            <w:r>
              <w:rPr>
                <w:rFonts w:hint="eastAsia"/>
                <w:kern w:val="0"/>
              </w:rPr>
              <w:t>4</w:t>
            </w:r>
          </w:p>
        </w:tc>
        <w:tc>
          <w:tcPr>
            <w:tcW w:w="1223" w:type="dxa"/>
            <w:tcBorders>
              <w:top w:val="single" w:color="auto" w:sz="4" w:space="0"/>
              <w:left w:val="single" w:color="auto" w:sz="4" w:space="0"/>
              <w:bottom w:val="single" w:color="auto" w:sz="4" w:space="0"/>
              <w:right w:val="single" w:color="auto" w:sz="4" w:space="0"/>
            </w:tcBorders>
          </w:tcPr>
          <w:p w14:paraId="65331824">
            <w:pPr>
              <w:jc w:val="center"/>
              <w:rPr>
                <w:kern w:val="0"/>
              </w:rPr>
            </w:pPr>
            <w:r>
              <w:rPr>
                <w:rFonts w:hint="eastAsia"/>
                <w:kern w:val="0"/>
              </w:rPr>
              <w:t>3</w:t>
            </w:r>
          </w:p>
        </w:tc>
        <w:tc>
          <w:tcPr>
            <w:tcW w:w="1089" w:type="dxa"/>
            <w:tcBorders>
              <w:top w:val="single" w:color="auto" w:sz="4" w:space="0"/>
              <w:left w:val="single" w:color="auto" w:sz="4" w:space="0"/>
              <w:bottom w:val="single" w:color="auto" w:sz="4" w:space="0"/>
              <w:right w:val="single" w:color="auto" w:sz="4" w:space="0"/>
            </w:tcBorders>
          </w:tcPr>
          <w:p w14:paraId="58B59962">
            <w:pPr>
              <w:jc w:val="center"/>
              <w:rPr>
                <w:kern w:val="0"/>
              </w:rPr>
            </w:pPr>
            <w:r>
              <w:rPr>
                <w:rFonts w:hint="eastAsia"/>
                <w:kern w:val="0"/>
              </w:rPr>
              <w:t>2</w:t>
            </w:r>
          </w:p>
        </w:tc>
      </w:tr>
      <w:tr w14:paraId="3246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223" w:type="dxa"/>
            <w:tcBorders>
              <w:top w:val="single" w:color="auto" w:sz="4" w:space="0"/>
              <w:left w:val="single" w:color="auto" w:sz="4" w:space="0"/>
              <w:bottom w:val="single" w:color="auto" w:sz="4" w:space="0"/>
              <w:right w:val="single" w:color="auto" w:sz="4" w:space="0"/>
            </w:tcBorders>
          </w:tcPr>
          <w:p w14:paraId="3144A479">
            <w:pPr>
              <w:jc w:val="center"/>
              <w:rPr>
                <w:b/>
                <w:kern w:val="0"/>
                <w:sz w:val="24"/>
              </w:rPr>
            </w:pPr>
            <w:r>
              <w:rPr>
                <w:rFonts w:hint="eastAsia"/>
                <w:b/>
                <w:kern w:val="0"/>
              </w:rPr>
              <w:t>校级</w:t>
            </w:r>
          </w:p>
        </w:tc>
        <w:tc>
          <w:tcPr>
            <w:tcW w:w="1223" w:type="dxa"/>
            <w:tcBorders>
              <w:top w:val="single" w:color="auto" w:sz="4" w:space="0"/>
              <w:left w:val="single" w:color="auto" w:sz="4" w:space="0"/>
              <w:bottom w:val="single" w:color="auto" w:sz="4" w:space="0"/>
              <w:right w:val="single" w:color="auto" w:sz="4" w:space="0"/>
            </w:tcBorders>
          </w:tcPr>
          <w:p w14:paraId="7C9DB66E">
            <w:pPr>
              <w:jc w:val="center"/>
              <w:rPr>
                <w:kern w:val="0"/>
                <w:sz w:val="24"/>
              </w:rPr>
            </w:pPr>
            <w:r>
              <w:rPr>
                <w:rFonts w:hint="eastAsia"/>
                <w:kern w:val="0"/>
                <w:sz w:val="24"/>
              </w:rPr>
              <w:t>4</w:t>
            </w:r>
          </w:p>
        </w:tc>
        <w:tc>
          <w:tcPr>
            <w:tcW w:w="1223" w:type="dxa"/>
            <w:tcBorders>
              <w:top w:val="single" w:color="auto" w:sz="4" w:space="0"/>
              <w:left w:val="single" w:color="auto" w:sz="4" w:space="0"/>
              <w:bottom w:val="single" w:color="auto" w:sz="4" w:space="0"/>
              <w:right w:val="single" w:color="auto" w:sz="4" w:space="0"/>
            </w:tcBorders>
          </w:tcPr>
          <w:p w14:paraId="225FC9F7">
            <w:pPr>
              <w:jc w:val="center"/>
              <w:rPr>
                <w:kern w:val="0"/>
                <w:sz w:val="24"/>
              </w:rPr>
            </w:pPr>
            <w:r>
              <w:rPr>
                <w:rFonts w:hint="eastAsia"/>
                <w:kern w:val="0"/>
                <w:sz w:val="24"/>
              </w:rPr>
              <w:t>3</w:t>
            </w:r>
          </w:p>
        </w:tc>
        <w:tc>
          <w:tcPr>
            <w:tcW w:w="1223" w:type="dxa"/>
            <w:tcBorders>
              <w:top w:val="single" w:color="auto" w:sz="4" w:space="0"/>
              <w:left w:val="single" w:color="auto" w:sz="4" w:space="0"/>
              <w:bottom w:val="single" w:color="auto" w:sz="4" w:space="0"/>
              <w:right w:val="single" w:color="auto" w:sz="4" w:space="0"/>
            </w:tcBorders>
          </w:tcPr>
          <w:p w14:paraId="64273EE2">
            <w:pPr>
              <w:jc w:val="center"/>
              <w:rPr>
                <w:kern w:val="0"/>
                <w:sz w:val="24"/>
              </w:rPr>
            </w:pPr>
            <w:r>
              <w:rPr>
                <w:rFonts w:hint="eastAsia"/>
                <w:kern w:val="0"/>
                <w:sz w:val="24"/>
              </w:rPr>
              <w:t>2</w:t>
            </w:r>
          </w:p>
        </w:tc>
        <w:tc>
          <w:tcPr>
            <w:tcW w:w="1089" w:type="dxa"/>
            <w:tcBorders>
              <w:top w:val="single" w:color="auto" w:sz="4" w:space="0"/>
              <w:left w:val="single" w:color="auto" w:sz="4" w:space="0"/>
              <w:bottom w:val="single" w:color="auto" w:sz="4" w:space="0"/>
              <w:right w:val="single" w:color="auto" w:sz="4" w:space="0"/>
            </w:tcBorders>
          </w:tcPr>
          <w:p w14:paraId="0705CDB7">
            <w:pPr>
              <w:jc w:val="center"/>
              <w:rPr>
                <w:kern w:val="0"/>
                <w:sz w:val="24"/>
              </w:rPr>
            </w:pPr>
            <w:r>
              <w:rPr>
                <w:rFonts w:hint="eastAsia"/>
                <w:kern w:val="0"/>
                <w:sz w:val="24"/>
              </w:rPr>
              <w:t>1</w:t>
            </w:r>
          </w:p>
        </w:tc>
      </w:tr>
    </w:tbl>
    <w:p w14:paraId="22D72F2B">
      <w:r>
        <w:rPr>
          <w:rFonts w:hint="eastAsia"/>
          <w:sz w:val="24"/>
        </w:rPr>
        <w:t>2</w:t>
      </w:r>
      <w:r>
        <w:rPr>
          <w:sz w:val="24"/>
        </w:rPr>
        <w:t>.</w:t>
      </w:r>
      <w:r>
        <w:rPr>
          <w:rFonts w:hint="eastAsia"/>
        </w:rPr>
        <w:t>同一赛事加分不可重复，取赛事最高加分单项。</w:t>
      </w:r>
    </w:p>
    <w:p w14:paraId="76AF9A57">
      <w:pPr>
        <w:rPr>
          <w:sz w:val="24"/>
        </w:rPr>
      </w:pPr>
      <w:r>
        <w:rPr>
          <w:rFonts w:hint="eastAsia"/>
          <w:sz w:val="22"/>
          <w:szCs w:val="22"/>
        </w:rPr>
        <w:t>3</w:t>
      </w:r>
      <w:r>
        <w:rPr>
          <w:rFonts w:hint="eastAsia"/>
        </w:rPr>
        <w:t>.积极参与基地指定的协办、合办、主办以及推荐赛事，且成功进入初赛，加2分。</w:t>
      </w:r>
      <w:bookmarkStart w:id="15" w:name="_Toc100428195"/>
    </w:p>
    <w:p w14:paraId="6EB099CA">
      <w:pPr>
        <w:pStyle w:val="4"/>
      </w:pPr>
      <w:r>
        <w:rPr>
          <w:rFonts w:hint="eastAsia"/>
        </w:rPr>
        <w:t>第三条 团队项目相关论文发表情况</w:t>
      </w:r>
      <w:bookmarkEnd w:id="15"/>
    </w:p>
    <w:p w14:paraId="5952137A">
      <w:r>
        <w:rPr>
          <w:rFonts w:hint="eastAsia"/>
        </w:rPr>
        <w:t>1.团队就项目相关内容公开发表学术论文或论文被专业学术会议收录的，按照表2进行加分。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8"/>
        <w:gridCol w:w="1990"/>
      </w:tblGrid>
      <w:tr w14:paraId="61AD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88" w:type="dxa"/>
            <w:tcBorders>
              <w:top w:val="single" w:color="auto" w:sz="4" w:space="0"/>
              <w:left w:val="single" w:color="auto" w:sz="4" w:space="0"/>
              <w:bottom w:val="single" w:color="auto" w:sz="4" w:space="0"/>
              <w:right w:val="single" w:color="auto" w:sz="4" w:space="0"/>
            </w:tcBorders>
          </w:tcPr>
          <w:p w14:paraId="728B3910">
            <w:pPr>
              <w:jc w:val="center"/>
              <w:rPr>
                <w:b/>
                <w:kern w:val="0"/>
                <w:sz w:val="20"/>
              </w:rPr>
            </w:pPr>
            <w:r>
              <w:rPr>
                <w:rFonts w:hint="eastAsia"/>
                <w:b/>
                <w:kern w:val="0"/>
                <w:sz w:val="20"/>
              </w:rPr>
              <w:t>期刊级别</w:t>
            </w:r>
          </w:p>
        </w:tc>
        <w:tc>
          <w:tcPr>
            <w:tcW w:w="1990" w:type="dxa"/>
            <w:tcBorders>
              <w:top w:val="single" w:color="auto" w:sz="4" w:space="0"/>
              <w:left w:val="single" w:color="auto" w:sz="4" w:space="0"/>
              <w:bottom w:val="single" w:color="auto" w:sz="4" w:space="0"/>
              <w:right w:val="single" w:color="auto" w:sz="4" w:space="0"/>
            </w:tcBorders>
          </w:tcPr>
          <w:p w14:paraId="4413C1E5">
            <w:pPr>
              <w:jc w:val="center"/>
              <w:rPr>
                <w:b/>
                <w:kern w:val="0"/>
                <w:sz w:val="20"/>
              </w:rPr>
            </w:pPr>
            <w:r>
              <w:rPr>
                <w:rFonts w:hint="eastAsia"/>
                <w:b/>
                <w:kern w:val="0"/>
                <w:sz w:val="20"/>
              </w:rPr>
              <w:t>分值</w:t>
            </w:r>
          </w:p>
        </w:tc>
      </w:tr>
      <w:tr w14:paraId="5A8E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488" w:type="dxa"/>
            <w:tcBorders>
              <w:top w:val="single" w:color="auto" w:sz="4" w:space="0"/>
              <w:left w:val="single" w:color="auto" w:sz="4" w:space="0"/>
              <w:bottom w:val="single" w:color="auto" w:sz="4" w:space="0"/>
              <w:right w:val="single" w:color="auto" w:sz="4" w:space="0"/>
            </w:tcBorders>
          </w:tcPr>
          <w:p w14:paraId="5CAAFBBF">
            <w:pPr>
              <w:jc w:val="center"/>
              <w:rPr>
                <w:b/>
                <w:kern w:val="0"/>
                <w:sz w:val="20"/>
              </w:rPr>
            </w:pPr>
            <w:r>
              <w:rPr>
                <w:rFonts w:hint="eastAsia"/>
                <w:b/>
                <w:kern w:val="0"/>
                <w:sz w:val="20"/>
              </w:rPr>
              <w:t>T</w:t>
            </w:r>
          </w:p>
        </w:tc>
        <w:tc>
          <w:tcPr>
            <w:tcW w:w="1990" w:type="dxa"/>
            <w:tcBorders>
              <w:top w:val="single" w:color="auto" w:sz="4" w:space="0"/>
              <w:left w:val="single" w:color="auto" w:sz="4" w:space="0"/>
              <w:bottom w:val="single" w:color="auto" w:sz="4" w:space="0"/>
              <w:right w:val="single" w:color="auto" w:sz="4" w:space="0"/>
            </w:tcBorders>
          </w:tcPr>
          <w:p w14:paraId="75711943">
            <w:pPr>
              <w:jc w:val="center"/>
              <w:rPr>
                <w:kern w:val="0"/>
                <w:sz w:val="20"/>
              </w:rPr>
            </w:pPr>
            <w:r>
              <w:rPr>
                <w:rFonts w:hint="eastAsia"/>
                <w:kern w:val="0"/>
                <w:sz w:val="20"/>
              </w:rPr>
              <w:t>1</w:t>
            </w:r>
            <w:r>
              <w:rPr>
                <w:kern w:val="0"/>
                <w:sz w:val="20"/>
              </w:rPr>
              <w:t>5</w:t>
            </w:r>
          </w:p>
        </w:tc>
      </w:tr>
      <w:tr w14:paraId="627F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88" w:type="dxa"/>
            <w:tcBorders>
              <w:top w:val="single" w:color="auto" w:sz="4" w:space="0"/>
              <w:left w:val="single" w:color="auto" w:sz="4" w:space="0"/>
              <w:bottom w:val="single" w:color="auto" w:sz="4" w:space="0"/>
              <w:right w:val="single" w:color="auto" w:sz="4" w:space="0"/>
            </w:tcBorders>
          </w:tcPr>
          <w:p w14:paraId="31EF9B6A">
            <w:pPr>
              <w:jc w:val="center"/>
              <w:rPr>
                <w:b/>
                <w:kern w:val="0"/>
                <w:sz w:val="20"/>
              </w:rPr>
            </w:pPr>
            <w:r>
              <w:rPr>
                <w:rFonts w:hint="eastAsia"/>
                <w:b/>
                <w:kern w:val="0"/>
                <w:sz w:val="20"/>
              </w:rPr>
              <w:t>A</w:t>
            </w:r>
          </w:p>
        </w:tc>
        <w:tc>
          <w:tcPr>
            <w:tcW w:w="1990" w:type="dxa"/>
            <w:tcBorders>
              <w:top w:val="single" w:color="auto" w:sz="4" w:space="0"/>
              <w:left w:val="single" w:color="auto" w:sz="4" w:space="0"/>
              <w:bottom w:val="single" w:color="auto" w:sz="4" w:space="0"/>
              <w:right w:val="single" w:color="auto" w:sz="4" w:space="0"/>
            </w:tcBorders>
          </w:tcPr>
          <w:p w14:paraId="4A916C99">
            <w:pPr>
              <w:jc w:val="center"/>
              <w:rPr>
                <w:kern w:val="0"/>
                <w:sz w:val="20"/>
              </w:rPr>
            </w:pPr>
            <w:r>
              <w:rPr>
                <w:rFonts w:hint="eastAsia"/>
                <w:kern w:val="0"/>
                <w:sz w:val="20"/>
              </w:rPr>
              <w:t>1</w:t>
            </w:r>
            <w:r>
              <w:rPr>
                <w:kern w:val="0"/>
                <w:sz w:val="20"/>
              </w:rPr>
              <w:t>3</w:t>
            </w:r>
          </w:p>
        </w:tc>
      </w:tr>
      <w:tr w14:paraId="1527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88" w:type="dxa"/>
            <w:tcBorders>
              <w:top w:val="single" w:color="auto" w:sz="4" w:space="0"/>
              <w:left w:val="single" w:color="auto" w:sz="4" w:space="0"/>
              <w:bottom w:val="single" w:color="auto" w:sz="4" w:space="0"/>
              <w:right w:val="single" w:color="auto" w:sz="4" w:space="0"/>
            </w:tcBorders>
          </w:tcPr>
          <w:p w14:paraId="09C8E48B">
            <w:pPr>
              <w:jc w:val="center"/>
              <w:rPr>
                <w:b/>
                <w:kern w:val="0"/>
                <w:sz w:val="20"/>
              </w:rPr>
            </w:pPr>
            <w:r>
              <w:rPr>
                <w:rFonts w:hint="eastAsia"/>
                <w:b/>
                <w:kern w:val="0"/>
                <w:sz w:val="20"/>
              </w:rPr>
              <w:t>B</w:t>
            </w:r>
          </w:p>
        </w:tc>
        <w:tc>
          <w:tcPr>
            <w:tcW w:w="1990" w:type="dxa"/>
            <w:tcBorders>
              <w:top w:val="single" w:color="auto" w:sz="4" w:space="0"/>
              <w:left w:val="single" w:color="auto" w:sz="4" w:space="0"/>
              <w:bottom w:val="single" w:color="auto" w:sz="4" w:space="0"/>
              <w:right w:val="single" w:color="auto" w:sz="4" w:space="0"/>
            </w:tcBorders>
          </w:tcPr>
          <w:p w14:paraId="372C310D">
            <w:pPr>
              <w:jc w:val="center"/>
              <w:rPr>
                <w:kern w:val="0"/>
                <w:sz w:val="20"/>
              </w:rPr>
            </w:pPr>
            <w:r>
              <w:rPr>
                <w:rFonts w:hint="eastAsia"/>
                <w:kern w:val="0"/>
                <w:sz w:val="20"/>
              </w:rPr>
              <w:t>1</w:t>
            </w:r>
            <w:r>
              <w:rPr>
                <w:kern w:val="0"/>
                <w:sz w:val="20"/>
              </w:rPr>
              <w:t>0</w:t>
            </w:r>
          </w:p>
        </w:tc>
      </w:tr>
      <w:tr w14:paraId="26F2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88" w:type="dxa"/>
            <w:tcBorders>
              <w:top w:val="single" w:color="auto" w:sz="4" w:space="0"/>
              <w:left w:val="single" w:color="auto" w:sz="4" w:space="0"/>
              <w:bottom w:val="single" w:color="auto" w:sz="4" w:space="0"/>
              <w:right w:val="single" w:color="auto" w:sz="4" w:space="0"/>
            </w:tcBorders>
          </w:tcPr>
          <w:p w14:paraId="177C71A6">
            <w:pPr>
              <w:jc w:val="center"/>
              <w:rPr>
                <w:b/>
                <w:kern w:val="0"/>
                <w:sz w:val="20"/>
              </w:rPr>
            </w:pPr>
            <w:r>
              <w:rPr>
                <w:rFonts w:hint="eastAsia"/>
                <w:b/>
                <w:kern w:val="0"/>
                <w:sz w:val="20"/>
              </w:rPr>
              <w:t>其他公开出版的期刊、出版物</w:t>
            </w:r>
          </w:p>
        </w:tc>
        <w:tc>
          <w:tcPr>
            <w:tcW w:w="1990" w:type="dxa"/>
            <w:tcBorders>
              <w:top w:val="single" w:color="auto" w:sz="4" w:space="0"/>
              <w:left w:val="single" w:color="auto" w:sz="4" w:space="0"/>
              <w:bottom w:val="single" w:color="auto" w:sz="4" w:space="0"/>
              <w:right w:val="single" w:color="auto" w:sz="4" w:space="0"/>
            </w:tcBorders>
          </w:tcPr>
          <w:p w14:paraId="70939BDB">
            <w:pPr>
              <w:jc w:val="center"/>
              <w:rPr>
                <w:kern w:val="0"/>
                <w:sz w:val="20"/>
              </w:rPr>
            </w:pPr>
            <w:r>
              <w:rPr>
                <w:rFonts w:hint="eastAsia"/>
                <w:kern w:val="0"/>
                <w:sz w:val="20"/>
              </w:rPr>
              <w:t>7</w:t>
            </w:r>
          </w:p>
        </w:tc>
      </w:tr>
      <w:tr w14:paraId="4F9A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88" w:type="dxa"/>
            <w:tcBorders>
              <w:top w:val="single" w:color="auto" w:sz="4" w:space="0"/>
              <w:left w:val="single" w:color="auto" w:sz="4" w:space="0"/>
              <w:bottom w:val="single" w:color="auto" w:sz="4" w:space="0"/>
              <w:right w:val="single" w:color="auto" w:sz="4" w:space="0"/>
            </w:tcBorders>
          </w:tcPr>
          <w:p w14:paraId="24FD08CD">
            <w:pPr>
              <w:jc w:val="center"/>
              <w:rPr>
                <w:b/>
                <w:kern w:val="0"/>
                <w:sz w:val="20"/>
              </w:rPr>
            </w:pPr>
            <w:r>
              <w:rPr>
                <w:rFonts w:hint="eastAsia"/>
                <w:b/>
                <w:kern w:val="0"/>
                <w:sz w:val="20"/>
              </w:rPr>
              <w:t>未出版的会议论文</w:t>
            </w:r>
          </w:p>
        </w:tc>
        <w:tc>
          <w:tcPr>
            <w:tcW w:w="1990" w:type="dxa"/>
            <w:tcBorders>
              <w:top w:val="single" w:color="auto" w:sz="4" w:space="0"/>
              <w:left w:val="single" w:color="auto" w:sz="4" w:space="0"/>
              <w:bottom w:val="single" w:color="auto" w:sz="4" w:space="0"/>
              <w:right w:val="single" w:color="auto" w:sz="4" w:space="0"/>
            </w:tcBorders>
          </w:tcPr>
          <w:p w14:paraId="685EF3D7">
            <w:pPr>
              <w:jc w:val="center"/>
              <w:rPr>
                <w:kern w:val="0"/>
                <w:sz w:val="20"/>
              </w:rPr>
            </w:pPr>
            <w:r>
              <w:rPr>
                <w:rFonts w:hint="eastAsia"/>
                <w:kern w:val="0"/>
                <w:sz w:val="20"/>
              </w:rPr>
              <w:t>5</w:t>
            </w:r>
          </w:p>
        </w:tc>
      </w:tr>
    </w:tbl>
    <w:p w14:paraId="453DE9E3"/>
    <w:p w14:paraId="53B6FC6A">
      <w:r>
        <w:rPr>
          <w:rFonts w:hint="eastAsia"/>
        </w:rPr>
        <w:t>2.以上论文为合作发表的，需按照下表系数进行折算，其中，T级、A级和B级核心刊物中，老师为第一作者，团队学生为第二作者的，该生视为第一作者；期刊T级、A级、B级的认定以《华南师范大学科研业绩评价方案（2012年修订）》（华师[2013]73号）为准。</w:t>
      </w:r>
    </w:p>
    <w:tbl>
      <w:tblPr>
        <w:tblStyle w:val="12"/>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095"/>
        <w:gridCol w:w="2095"/>
        <w:gridCol w:w="2095"/>
      </w:tblGrid>
      <w:tr w14:paraId="6853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095" w:type="dxa"/>
            <w:tcBorders>
              <w:top w:val="single" w:color="auto" w:sz="4" w:space="0"/>
              <w:left w:val="single" w:color="auto" w:sz="4" w:space="0"/>
              <w:bottom w:val="single" w:color="auto" w:sz="4" w:space="0"/>
              <w:right w:val="single" w:color="auto" w:sz="4" w:space="0"/>
            </w:tcBorders>
          </w:tcPr>
          <w:p w14:paraId="5B6B3A9E">
            <w:pPr>
              <w:jc w:val="center"/>
              <w:rPr>
                <w:b/>
                <w:kern w:val="0"/>
                <w:sz w:val="24"/>
              </w:rPr>
            </w:pPr>
            <w:r>
              <w:rPr>
                <w:rFonts w:hint="eastAsia"/>
                <w:b/>
                <w:kern w:val="0"/>
                <w:sz w:val="24"/>
              </w:rPr>
              <w:t>作者数</w:t>
            </w:r>
          </w:p>
        </w:tc>
        <w:tc>
          <w:tcPr>
            <w:tcW w:w="2095" w:type="dxa"/>
            <w:tcBorders>
              <w:top w:val="single" w:color="auto" w:sz="4" w:space="0"/>
              <w:left w:val="single" w:color="auto" w:sz="4" w:space="0"/>
              <w:bottom w:val="single" w:color="auto" w:sz="4" w:space="0"/>
              <w:right w:val="single" w:color="auto" w:sz="4" w:space="0"/>
            </w:tcBorders>
          </w:tcPr>
          <w:p w14:paraId="649B8C3C">
            <w:pPr>
              <w:jc w:val="center"/>
              <w:rPr>
                <w:b/>
                <w:kern w:val="0"/>
                <w:sz w:val="24"/>
              </w:rPr>
            </w:pPr>
            <w:r>
              <w:rPr>
                <w:rFonts w:hint="eastAsia"/>
                <w:b/>
                <w:kern w:val="0"/>
                <w:sz w:val="24"/>
              </w:rPr>
              <w:t>第一作者</w:t>
            </w:r>
          </w:p>
        </w:tc>
        <w:tc>
          <w:tcPr>
            <w:tcW w:w="2095" w:type="dxa"/>
            <w:tcBorders>
              <w:top w:val="single" w:color="auto" w:sz="4" w:space="0"/>
              <w:left w:val="single" w:color="auto" w:sz="4" w:space="0"/>
              <w:bottom w:val="single" w:color="auto" w:sz="4" w:space="0"/>
              <w:right w:val="single" w:color="auto" w:sz="4" w:space="0"/>
            </w:tcBorders>
          </w:tcPr>
          <w:p w14:paraId="16CD15D8">
            <w:pPr>
              <w:jc w:val="center"/>
              <w:rPr>
                <w:b/>
                <w:kern w:val="0"/>
                <w:sz w:val="24"/>
              </w:rPr>
            </w:pPr>
            <w:r>
              <w:rPr>
                <w:rFonts w:hint="eastAsia"/>
                <w:b/>
                <w:kern w:val="0"/>
                <w:sz w:val="24"/>
              </w:rPr>
              <w:t>第二作者</w:t>
            </w:r>
          </w:p>
        </w:tc>
        <w:tc>
          <w:tcPr>
            <w:tcW w:w="2095" w:type="dxa"/>
            <w:tcBorders>
              <w:top w:val="single" w:color="auto" w:sz="4" w:space="0"/>
              <w:left w:val="single" w:color="auto" w:sz="4" w:space="0"/>
              <w:bottom w:val="single" w:color="auto" w:sz="4" w:space="0"/>
              <w:right w:val="single" w:color="auto" w:sz="4" w:space="0"/>
            </w:tcBorders>
          </w:tcPr>
          <w:p w14:paraId="0EBD10CB">
            <w:pPr>
              <w:jc w:val="center"/>
              <w:rPr>
                <w:b/>
                <w:kern w:val="0"/>
                <w:sz w:val="24"/>
              </w:rPr>
            </w:pPr>
            <w:r>
              <w:rPr>
                <w:rFonts w:hint="eastAsia"/>
                <w:b/>
                <w:kern w:val="0"/>
                <w:sz w:val="24"/>
              </w:rPr>
              <w:t>第三作者</w:t>
            </w:r>
          </w:p>
        </w:tc>
      </w:tr>
      <w:tr w14:paraId="1AF8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095" w:type="dxa"/>
            <w:tcBorders>
              <w:top w:val="single" w:color="auto" w:sz="4" w:space="0"/>
              <w:left w:val="single" w:color="auto" w:sz="4" w:space="0"/>
              <w:bottom w:val="single" w:color="auto" w:sz="4" w:space="0"/>
              <w:right w:val="single" w:color="auto" w:sz="4" w:space="0"/>
            </w:tcBorders>
          </w:tcPr>
          <w:p w14:paraId="17000161">
            <w:pPr>
              <w:jc w:val="center"/>
              <w:rPr>
                <w:b/>
                <w:kern w:val="0"/>
                <w:sz w:val="24"/>
              </w:rPr>
            </w:pPr>
            <w:r>
              <w:rPr>
                <w:rFonts w:hint="eastAsia"/>
                <w:b/>
                <w:kern w:val="0"/>
                <w:sz w:val="24"/>
              </w:rPr>
              <w:t>2</w:t>
            </w:r>
          </w:p>
        </w:tc>
        <w:tc>
          <w:tcPr>
            <w:tcW w:w="2095" w:type="dxa"/>
            <w:tcBorders>
              <w:top w:val="single" w:color="auto" w:sz="4" w:space="0"/>
              <w:left w:val="single" w:color="auto" w:sz="4" w:space="0"/>
              <w:bottom w:val="single" w:color="auto" w:sz="4" w:space="0"/>
              <w:right w:val="single" w:color="auto" w:sz="4" w:space="0"/>
            </w:tcBorders>
          </w:tcPr>
          <w:p w14:paraId="778317E1">
            <w:pPr>
              <w:jc w:val="center"/>
              <w:rPr>
                <w:kern w:val="0"/>
                <w:sz w:val="24"/>
              </w:rPr>
            </w:pPr>
            <w:r>
              <w:rPr>
                <w:rFonts w:hint="eastAsia"/>
                <w:kern w:val="0"/>
                <w:sz w:val="24"/>
              </w:rPr>
              <w:t>0.6</w:t>
            </w:r>
          </w:p>
        </w:tc>
        <w:tc>
          <w:tcPr>
            <w:tcW w:w="2095" w:type="dxa"/>
            <w:tcBorders>
              <w:top w:val="single" w:color="auto" w:sz="4" w:space="0"/>
              <w:left w:val="single" w:color="auto" w:sz="4" w:space="0"/>
              <w:bottom w:val="single" w:color="auto" w:sz="4" w:space="0"/>
              <w:right w:val="single" w:color="auto" w:sz="4" w:space="0"/>
            </w:tcBorders>
          </w:tcPr>
          <w:p w14:paraId="61FD4781">
            <w:pPr>
              <w:jc w:val="center"/>
              <w:rPr>
                <w:kern w:val="0"/>
                <w:sz w:val="24"/>
              </w:rPr>
            </w:pPr>
            <w:r>
              <w:rPr>
                <w:rFonts w:hint="eastAsia"/>
                <w:kern w:val="0"/>
                <w:sz w:val="24"/>
              </w:rPr>
              <w:t>0.4</w:t>
            </w:r>
          </w:p>
        </w:tc>
        <w:tc>
          <w:tcPr>
            <w:tcW w:w="2095" w:type="dxa"/>
            <w:tcBorders>
              <w:top w:val="single" w:color="auto" w:sz="4" w:space="0"/>
              <w:left w:val="single" w:color="auto" w:sz="4" w:space="0"/>
              <w:bottom w:val="single" w:color="auto" w:sz="4" w:space="0"/>
              <w:right w:val="single" w:color="auto" w:sz="4" w:space="0"/>
            </w:tcBorders>
          </w:tcPr>
          <w:p w14:paraId="211D0A22">
            <w:pPr>
              <w:jc w:val="center"/>
              <w:rPr>
                <w:kern w:val="0"/>
                <w:sz w:val="24"/>
              </w:rPr>
            </w:pPr>
            <w:r>
              <w:rPr>
                <w:rFonts w:hint="eastAsia"/>
                <w:kern w:val="0"/>
                <w:sz w:val="24"/>
              </w:rPr>
              <w:t>0</w:t>
            </w:r>
            <w:r>
              <w:rPr>
                <w:kern w:val="0"/>
                <w:sz w:val="24"/>
              </w:rPr>
              <w:t>.2</w:t>
            </w:r>
          </w:p>
        </w:tc>
      </w:tr>
      <w:tr w14:paraId="1191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095" w:type="dxa"/>
            <w:tcBorders>
              <w:top w:val="single" w:color="auto" w:sz="4" w:space="0"/>
              <w:left w:val="single" w:color="auto" w:sz="4" w:space="0"/>
              <w:bottom w:val="single" w:color="auto" w:sz="4" w:space="0"/>
              <w:right w:val="single" w:color="auto" w:sz="4" w:space="0"/>
            </w:tcBorders>
          </w:tcPr>
          <w:p w14:paraId="631D43B6">
            <w:pPr>
              <w:jc w:val="center"/>
              <w:rPr>
                <w:b/>
                <w:kern w:val="0"/>
                <w:sz w:val="24"/>
              </w:rPr>
            </w:pPr>
            <w:r>
              <w:rPr>
                <w:rFonts w:hint="eastAsia"/>
                <w:b/>
                <w:kern w:val="0"/>
                <w:sz w:val="24"/>
              </w:rPr>
              <w:t>3</w:t>
            </w:r>
          </w:p>
        </w:tc>
        <w:tc>
          <w:tcPr>
            <w:tcW w:w="2095" w:type="dxa"/>
            <w:tcBorders>
              <w:top w:val="single" w:color="auto" w:sz="4" w:space="0"/>
              <w:left w:val="single" w:color="auto" w:sz="4" w:space="0"/>
              <w:bottom w:val="single" w:color="auto" w:sz="4" w:space="0"/>
              <w:right w:val="single" w:color="auto" w:sz="4" w:space="0"/>
            </w:tcBorders>
          </w:tcPr>
          <w:p w14:paraId="22E7E2A9">
            <w:pPr>
              <w:jc w:val="center"/>
              <w:rPr>
                <w:kern w:val="0"/>
                <w:sz w:val="24"/>
              </w:rPr>
            </w:pPr>
            <w:r>
              <w:rPr>
                <w:rFonts w:hint="eastAsia"/>
                <w:kern w:val="0"/>
                <w:sz w:val="24"/>
              </w:rPr>
              <w:t>0.5</w:t>
            </w:r>
          </w:p>
        </w:tc>
        <w:tc>
          <w:tcPr>
            <w:tcW w:w="2095" w:type="dxa"/>
            <w:tcBorders>
              <w:top w:val="single" w:color="auto" w:sz="4" w:space="0"/>
              <w:left w:val="single" w:color="auto" w:sz="4" w:space="0"/>
              <w:bottom w:val="single" w:color="auto" w:sz="4" w:space="0"/>
              <w:right w:val="single" w:color="auto" w:sz="4" w:space="0"/>
            </w:tcBorders>
          </w:tcPr>
          <w:p w14:paraId="7ACBB0C3">
            <w:pPr>
              <w:jc w:val="center"/>
              <w:rPr>
                <w:kern w:val="0"/>
                <w:sz w:val="24"/>
              </w:rPr>
            </w:pPr>
            <w:r>
              <w:rPr>
                <w:rFonts w:hint="eastAsia"/>
                <w:kern w:val="0"/>
                <w:sz w:val="24"/>
              </w:rPr>
              <w:t>0.3</w:t>
            </w:r>
          </w:p>
        </w:tc>
        <w:tc>
          <w:tcPr>
            <w:tcW w:w="2095" w:type="dxa"/>
            <w:tcBorders>
              <w:top w:val="single" w:color="auto" w:sz="4" w:space="0"/>
              <w:left w:val="single" w:color="auto" w:sz="4" w:space="0"/>
              <w:bottom w:val="single" w:color="auto" w:sz="4" w:space="0"/>
              <w:right w:val="single" w:color="auto" w:sz="4" w:space="0"/>
            </w:tcBorders>
          </w:tcPr>
          <w:p w14:paraId="62B35CED">
            <w:pPr>
              <w:jc w:val="center"/>
              <w:rPr>
                <w:kern w:val="0"/>
                <w:sz w:val="24"/>
              </w:rPr>
            </w:pPr>
            <w:r>
              <w:rPr>
                <w:rFonts w:hint="eastAsia"/>
                <w:kern w:val="0"/>
                <w:sz w:val="24"/>
              </w:rPr>
              <w:t>0.2</w:t>
            </w:r>
          </w:p>
        </w:tc>
      </w:tr>
      <w:tr w14:paraId="2B58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5" w:type="dxa"/>
            <w:tcBorders>
              <w:top w:val="single" w:color="auto" w:sz="4" w:space="0"/>
              <w:left w:val="single" w:color="auto" w:sz="4" w:space="0"/>
              <w:bottom w:val="single" w:color="auto" w:sz="4" w:space="0"/>
              <w:right w:val="single" w:color="auto" w:sz="4" w:space="0"/>
            </w:tcBorders>
          </w:tcPr>
          <w:p w14:paraId="072D5400">
            <w:pPr>
              <w:jc w:val="center"/>
              <w:rPr>
                <w:b/>
                <w:kern w:val="0"/>
                <w:sz w:val="24"/>
              </w:rPr>
            </w:pPr>
            <w:r>
              <w:rPr>
                <w:rFonts w:hint="eastAsia"/>
                <w:b/>
                <w:kern w:val="0"/>
                <w:sz w:val="24"/>
              </w:rPr>
              <w:t>4</w:t>
            </w:r>
          </w:p>
        </w:tc>
        <w:tc>
          <w:tcPr>
            <w:tcW w:w="2095" w:type="dxa"/>
            <w:tcBorders>
              <w:top w:val="single" w:color="auto" w:sz="4" w:space="0"/>
              <w:left w:val="single" w:color="auto" w:sz="4" w:space="0"/>
              <w:bottom w:val="single" w:color="auto" w:sz="4" w:space="0"/>
              <w:right w:val="single" w:color="auto" w:sz="4" w:space="0"/>
            </w:tcBorders>
          </w:tcPr>
          <w:p w14:paraId="66EE5A90">
            <w:pPr>
              <w:jc w:val="center"/>
              <w:rPr>
                <w:kern w:val="0"/>
                <w:sz w:val="24"/>
              </w:rPr>
            </w:pPr>
            <w:r>
              <w:rPr>
                <w:rFonts w:hint="eastAsia"/>
                <w:kern w:val="0"/>
                <w:sz w:val="24"/>
              </w:rPr>
              <w:t>0.5</w:t>
            </w:r>
          </w:p>
        </w:tc>
        <w:tc>
          <w:tcPr>
            <w:tcW w:w="2095" w:type="dxa"/>
            <w:tcBorders>
              <w:top w:val="single" w:color="auto" w:sz="4" w:space="0"/>
              <w:left w:val="single" w:color="auto" w:sz="4" w:space="0"/>
              <w:bottom w:val="single" w:color="auto" w:sz="4" w:space="0"/>
              <w:right w:val="single" w:color="auto" w:sz="4" w:space="0"/>
            </w:tcBorders>
          </w:tcPr>
          <w:p w14:paraId="68F8FBA5">
            <w:pPr>
              <w:jc w:val="center"/>
              <w:rPr>
                <w:kern w:val="0"/>
                <w:sz w:val="24"/>
              </w:rPr>
            </w:pPr>
            <w:r>
              <w:rPr>
                <w:rFonts w:hint="eastAsia"/>
                <w:kern w:val="0"/>
                <w:sz w:val="24"/>
              </w:rPr>
              <w:t>0.3</w:t>
            </w:r>
          </w:p>
        </w:tc>
        <w:tc>
          <w:tcPr>
            <w:tcW w:w="2095" w:type="dxa"/>
            <w:tcBorders>
              <w:top w:val="single" w:color="auto" w:sz="4" w:space="0"/>
              <w:left w:val="single" w:color="auto" w:sz="4" w:space="0"/>
              <w:bottom w:val="single" w:color="auto" w:sz="4" w:space="0"/>
              <w:right w:val="single" w:color="auto" w:sz="4" w:space="0"/>
            </w:tcBorders>
          </w:tcPr>
          <w:p w14:paraId="282BF009">
            <w:pPr>
              <w:jc w:val="center"/>
              <w:rPr>
                <w:kern w:val="0"/>
                <w:sz w:val="24"/>
              </w:rPr>
            </w:pPr>
            <w:r>
              <w:rPr>
                <w:rFonts w:hint="eastAsia"/>
                <w:kern w:val="0"/>
                <w:sz w:val="24"/>
              </w:rPr>
              <w:t>0.2</w:t>
            </w:r>
          </w:p>
        </w:tc>
      </w:tr>
      <w:tr w14:paraId="1BB8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095" w:type="dxa"/>
            <w:tcBorders>
              <w:top w:val="single" w:color="auto" w:sz="4" w:space="0"/>
              <w:left w:val="single" w:color="auto" w:sz="4" w:space="0"/>
              <w:bottom w:val="single" w:color="auto" w:sz="4" w:space="0"/>
              <w:right w:val="single" w:color="auto" w:sz="4" w:space="0"/>
            </w:tcBorders>
          </w:tcPr>
          <w:p w14:paraId="63777329">
            <w:pPr>
              <w:jc w:val="center"/>
              <w:rPr>
                <w:b/>
                <w:kern w:val="0"/>
                <w:sz w:val="24"/>
              </w:rPr>
            </w:pPr>
            <w:r>
              <w:rPr>
                <w:rFonts w:hint="eastAsia"/>
                <w:b/>
                <w:kern w:val="0"/>
                <w:sz w:val="24"/>
              </w:rPr>
              <w:t>5</w:t>
            </w:r>
          </w:p>
        </w:tc>
        <w:tc>
          <w:tcPr>
            <w:tcW w:w="2095" w:type="dxa"/>
            <w:tcBorders>
              <w:top w:val="single" w:color="auto" w:sz="4" w:space="0"/>
              <w:left w:val="single" w:color="auto" w:sz="4" w:space="0"/>
              <w:bottom w:val="single" w:color="auto" w:sz="4" w:space="0"/>
              <w:right w:val="single" w:color="auto" w:sz="4" w:space="0"/>
            </w:tcBorders>
          </w:tcPr>
          <w:p w14:paraId="7732CA73">
            <w:pPr>
              <w:jc w:val="center"/>
              <w:rPr>
                <w:kern w:val="0"/>
                <w:sz w:val="24"/>
              </w:rPr>
            </w:pPr>
            <w:r>
              <w:rPr>
                <w:rFonts w:hint="eastAsia"/>
                <w:kern w:val="0"/>
                <w:sz w:val="24"/>
              </w:rPr>
              <w:t>0.5</w:t>
            </w:r>
          </w:p>
        </w:tc>
        <w:tc>
          <w:tcPr>
            <w:tcW w:w="2095" w:type="dxa"/>
            <w:tcBorders>
              <w:top w:val="single" w:color="auto" w:sz="4" w:space="0"/>
              <w:left w:val="single" w:color="auto" w:sz="4" w:space="0"/>
              <w:bottom w:val="single" w:color="auto" w:sz="4" w:space="0"/>
              <w:right w:val="single" w:color="auto" w:sz="4" w:space="0"/>
            </w:tcBorders>
          </w:tcPr>
          <w:p w14:paraId="7E570014">
            <w:pPr>
              <w:jc w:val="center"/>
              <w:rPr>
                <w:kern w:val="0"/>
                <w:sz w:val="24"/>
              </w:rPr>
            </w:pPr>
            <w:r>
              <w:rPr>
                <w:rFonts w:hint="eastAsia"/>
                <w:kern w:val="0"/>
                <w:sz w:val="24"/>
              </w:rPr>
              <w:t>0.2</w:t>
            </w:r>
          </w:p>
        </w:tc>
        <w:tc>
          <w:tcPr>
            <w:tcW w:w="2095" w:type="dxa"/>
            <w:tcBorders>
              <w:top w:val="single" w:color="auto" w:sz="4" w:space="0"/>
              <w:left w:val="single" w:color="auto" w:sz="4" w:space="0"/>
              <w:bottom w:val="single" w:color="auto" w:sz="4" w:space="0"/>
              <w:right w:val="single" w:color="auto" w:sz="4" w:space="0"/>
            </w:tcBorders>
          </w:tcPr>
          <w:p w14:paraId="4E535912">
            <w:pPr>
              <w:jc w:val="center"/>
              <w:rPr>
                <w:kern w:val="0"/>
                <w:sz w:val="24"/>
              </w:rPr>
            </w:pPr>
            <w:r>
              <w:rPr>
                <w:rFonts w:hint="eastAsia"/>
                <w:kern w:val="0"/>
                <w:sz w:val="24"/>
              </w:rPr>
              <w:t>0.2</w:t>
            </w:r>
          </w:p>
        </w:tc>
      </w:tr>
    </w:tbl>
    <w:p w14:paraId="09A553D1">
      <w:pPr>
        <w:rPr>
          <w:rFonts w:ascii="宋体-简" w:hAnsi="宋体-简" w:eastAsia="宋体-简"/>
          <w:bCs/>
        </w:rPr>
      </w:pPr>
    </w:p>
    <w:p w14:paraId="2A037201">
      <w:pPr>
        <w:pStyle w:val="4"/>
      </w:pPr>
      <w:bookmarkStart w:id="16" w:name="_Toc100428196"/>
      <w:r>
        <w:rPr>
          <w:rFonts w:hint="eastAsia"/>
        </w:rPr>
        <w:t>第四条 发明专利申请</w:t>
      </w:r>
      <w:bookmarkEnd w:id="16"/>
    </w:p>
    <w:p w14:paraId="78CB63E9">
      <w:r>
        <w:rPr>
          <w:rFonts w:hint="eastAsia"/>
        </w:rPr>
        <w:t>1.创新发明需要与项目相关，以提交的具体专利证书为准。</w:t>
      </w:r>
    </w:p>
    <w:p w14:paraId="4DC349C0">
      <w:r>
        <w:rPr>
          <w:rFonts w:hint="eastAsia"/>
        </w:rPr>
        <w:t>2.获得发明专利授权、获得实用新型专利、外观专利授权的，加1</w:t>
      </w:r>
      <w:r>
        <w:t>0</w:t>
      </w:r>
      <w:r>
        <w:rPr>
          <w:rFonts w:hint="eastAsia"/>
        </w:rPr>
        <w:t>分。</w:t>
      </w:r>
    </w:p>
    <w:p w14:paraId="1E50FFBE">
      <w:r>
        <w:rPr>
          <w:rFonts w:hint="eastAsia"/>
        </w:rPr>
        <w:t>3.若发明专利属于申请阶段的，在上述加分的基础上按照0.5的系数进行折算。</w:t>
      </w:r>
      <w:bookmarkStart w:id="17" w:name="_Toc100428197"/>
    </w:p>
    <w:p w14:paraId="2187F180">
      <w:pPr>
        <w:pStyle w:val="4"/>
      </w:pPr>
      <w:r>
        <w:rPr>
          <w:rFonts w:hint="eastAsia"/>
        </w:rPr>
        <w:t>第五条 项目利润情况</w:t>
      </w:r>
      <w:bookmarkEnd w:id="17"/>
    </w:p>
    <w:p w14:paraId="30AFF5EB">
      <w:r>
        <w:rPr>
          <w:rFonts w:hint="eastAsia"/>
        </w:rPr>
        <w:t>1.团队创业项目已经落地、创建公司或创业团队已成功盈利的，按照年平均利润额进行加分。月平均利润额大于</w:t>
      </w:r>
      <w:r>
        <w:t>5</w:t>
      </w:r>
      <w:r>
        <w:rPr>
          <w:rFonts w:hint="eastAsia"/>
        </w:rPr>
        <w:t>万元的，加</w:t>
      </w:r>
      <w:r>
        <w:t>20</w:t>
      </w:r>
      <w:r>
        <w:rPr>
          <w:rFonts w:hint="eastAsia"/>
        </w:rPr>
        <w:t>分；年平均利润额为</w:t>
      </w:r>
      <w:r>
        <w:t>5-2</w:t>
      </w:r>
      <w:r>
        <w:rPr>
          <w:rFonts w:hint="eastAsia"/>
        </w:rPr>
        <w:t>万元的，记1</w:t>
      </w:r>
      <w:r>
        <w:t>0</w:t>
      </w:r>
      <w:r>
        <w:rPr>
          <w:rFonts w:hint="eastAsia"/>
        </w:rPr>
        <w:t>分；年平均利润额为</w:t>
      </w:r>
      <w:r>
        <w:t>2-0.5</w:t>
      </w:r>
      <w:r>
        <w:rPr>
          <w:rFonts w:hint="eastAsia"/>
        </w:rPr>
        <w:t>万元的，记</w:t>
      </w:r>
      <w:r>
        <w:t>5</w:t>
      </w:r>
      <w:r>
        <w:rPr>
          <w:rFonts w:hint="eastAsia"/>
        </w:rPr>
        <w:t>分；</w:t>
      </w:r>
    </w:p>
    <w:p w14:paraId="15DE134E">
      <w:r>
        <w:rPr>
          <w:rFonts w:hint="eastAsia"/>
        </w:rPr>
        <w:t>2.项目利润情况需要提交相关的证明资料，如团队的财务收支表、资金流水情况等进行认定。</w:t>
      </w:r>
      <w:bookmarkStart w:id="18" w:name="_Toc100428198"/>
    </w:p>
    <w:p w14:paraId="7D6FEAD8">
      <w:pPr>
        <w:pStyle w:val="4"/>
      </w:pPr>
      <w:r>
        <w:rPr>
          <w:rFonts w:hint="eastAsia"/>
        </w:rPr>
        <w:t>第六条 与公司、组织签署相关协议</w:t>
      </w:r>
      <w:bookmarkEnd w:id="18"/>
    </w:p>
    <w:p w14:paraId="6ABB33B8">
      <w:r>
        <w:rPr>
          <w:rFonts w:hint="eastAsia"/>
        </w:rPr>
        <w:t>1.团队项目面向市场投入实际使用与运营，将通过与公司、组织签署相关协议进行量化计分。</w:t>
      </w:r>
    </w:p>
    <w:p w14:paraId="1D0079EA">
      <w:r>
        <w:rPr>
          <w:rFonts w:hint="eastAsia"/>
        </w:rPr>
        <w:t>2.与公司签署相关协议，加</w:t>
      </w:r>
      <w:r>
        <w:t>5</w:t>
      </w:r>
      <w:r>
        <w:rPr>
          <w:rFonts w:hint="eastAsia"/>
        </w:rPr>
        <w:t>分；与组织签署相关协议，加</w:t>
      </w:r>
      <w:r>
        <w:t>3</w:t>
      </w:r>
      <w:r>
        <w:rPr>
          <w:rFonts w:hint="eastAsia"/>
        </w:rPr>
        <w:t>分。</w:t>
      </w:r>
    </w:p>
    <w:p w14:paraId="2CA349B7">
      <w:r>
        <w:rPr>
          <w:rFonts w:hint="eastAsia"/>
        </w:rPr>
        <w:t>3.需要提交协议相关的文本资料进行认定。</w:t>
      </w:r>
      <w:bookmarkStart w:id="19" w:name="_Toc100428199"/>
    </w:p>
    <w:p w14:paraId="327C0FD3">
      <w:pPr>
        <w:pStyle w:val="4"/>
      </w:pPr>
      <w:r>
        <w:rPr>
          <w:rFonts w:hint="eastAsia"/>
        </w:rPr>
        <w:t>第七条 带动就业情况</w:t>
      </w:r>
      <w:bookmarkEnd w:id="19"/>
    </w:p>
    <w:p w14:paraId="25E8009B">
      <w:r>
        <w:rPr>
          <w:rFonts w:hint="eastAsia"/>
        </w:rPr>
        <w:t>1.为促进创业团队的活力，避免出现团队人员结构的僵化，各个团队项目的带动就业情况也将会纳入考核标准之中。</w:t>
      </w:r>
    </w:p>
    <w:p w14:paraId="7912EF0E">
      <w:r>
        <w:rPr>
          <w:rFonts w:hint="eastAsia"/>
        </w:rPr>
        <w:t>2.按照团队的带动就业数量进行评估，除核心成员以外的团队成员即属于带动就业的人员范围。</w:t>
      </w:r>
    </w:p>
    <w:p w14:paraId="5B351914">
      <w:r>
        <w:rPr>
          <w:rFonts w:hint="eastAsia"/>
        </w:rPr>
        <w:t>3.带动就业的人数每增加1人，加</w:t>
      </w:r>
      <w:r>
        <w:t>2</w:t>
      </w:r>
      <w:r>
        <w:rPr>
          <w:rFonts w:hint="eastAsia"/>
        </w:rPr>
        <w:t>分；经过助理的评定和考核，若团队成员僵化，则会进行相应的扣分。</w:t>
      </w:r>
    </w:p>
    <w:p w14:paraId="59DFB6F1">
      <w:pPr>
        <w:pStyle w:val="4"/>
      </w:pPr>
      <w:r>
        <w:rPr>
          <w:rFonts w:hint="eastAsia"/>
        </w:rPr>
        <w:t>第八条 团队违规处理标准</w:t>
      </w:r>
    </w:p>
    <w:p w14:paraId="5E75273C">
      <w:r>
        <w:rPr>
          <w:rFonts w:hint="eastAsia"/>
        </w:rPr>
        <w:t>1</w:t>
      </w:r>
      <w:r>
        <w:t>.</w:t>
      </w:r>
      <w:r>
        <w:rPr>
          <w:rFonts w:hint="eastAsia"/>
        </w:rPr>
        <w:t>若存在未入驻/入库团队以“挂靠”、“分支”或“附属”等理由通过已入驻、入库团队使用基地物资的，取消未入驻团队所有权限，并拉入“黑名单”，被“挂靠”团队，扣1</w:t>
      </w:r>
      <w:r>
        <w:t>0</w:t>
      </w:r>
      <w:r>
        <w:rPr>
          <w:rFonts w:hint="eastAsia"/>
        </w:rPr>
        <w:t>分。</w:t>
      </w:r>
    </w:p>
    <w:p w14:paraId="2B462BEC">
      <w:r>
        <w:rPr>
          <w:rFonts w:hint="eastAsia"/>
        </w:rPr>
        <w:t>2</w:t>
      </w:r>
      <w:r>
        <w:t>.</w:t>
      </w:r>
      <w:r>
        <w:rPr>
          <w:rFonts w:hint="eastAsia"/>
        </w:rPr>
        <w:t>签署入驻、入库协议后未参与培训的团队，须在协议签署后一周内完成入驻、入库培训。</w:t>
      </w:r>
    </w:p>
    <w:p w14:paraId="53B52E24">
      <w:pPr>
        <w:rPr>
          <w:rStyle w:val="24"/>
          <w:rFonts w:ascii="宋体-简" w:hAnsi="宋体-简" w:eastAsia="宋体-简"/>
          <w:color w:val="000000"/>
        </w:rPr>
      </w:pPr>
      <w:r>
        <w:rPr>
          <w:rFonts w:hint="eastAsia"/>
        </w:rPr>
        <w:t>3.</w:t>
      </w:r>
      <w:r>
        <w:rPr>
          <w:rStyle w:val="24"/>
          <w:rFonts w:hint="eastAsia" w:ascii="宋体-简" w:hAnsi="宋体-简" w:eastAsia="宋体-简"/>
          <w:color w:val="000000"/>
        </w:rPr>
        <w:t>团队未登记在册成员、临时成员未经允许擅自进入基地办公，每人每次扣2分。</w:t>
      </w:r>
    </w:p>
    <w:p w14:paraId="3BA4D9C2">
      <w:pPr>
        <w:rPr>
          <w:rStyle w:val="24"/>
          <w:rFonts w:ascii="宋体-简" w:hAnsi="宋体-简" w:eastAsia="宋体-简"/>
          <w:color w:val="000000"/>
        </w:rPr>
      </w:pPr>
      <w:r>
        <w:rPr>
          <w:rStyle w:val="24"/>
          <w:rFonts w:hint="eastAsia" w:ascii="宋体-简" w:hAnsi="宋体-简" w:eastAsia="宋体-简"/>
          <w:color w:val="000000"/>
        </w:rPr>
        <w:t>4</w:t>
      </w:r>
      <w:r>
        <w:rPr>
          <w:rStyle w:val="24"/>
          <w:rFonts w:ascii="宋体-简" w:hAnsi="宋体-简" w:eastAsia="宋体-简"/>
          <w:color w:val="000000"/>
        </w:rPr>
        <w:t>.</w:t>
      </w:r>
      <w:r>
        <w:rPr>
          <w:rStyle w:val="24"/>
          <w:rFonts w:hint="eastAsia" w:ascii="宋体-简" w:hAnsi="宋体-简" w:eastAsia="宋体-简"/>
          <w:color w:val="000000"/>
        </w:rPr>
        <w:t>违规使用、占用基地工位、共享型办公场地的，每人每次扣2分。</w:t>
      </w:r>
    </w:p>
    <w:p w14:paraId="50E2C589">
      <w:r>
        <w:rPr>
          <w:rFonts w:hint="eastAsia"/>
        </w:rPr>
        <w:t>5</w:t>
      </w:r>
      <w:r>
        <w:t>.</w:t>
      </w:r>
      <w:r>
        <w:rPr>
          <w:rFonts w:hint="eastAsia"/>
        </w:rPr>
        <w:t>使用基地场地后未恢复至使用前状态，或擅自改造、损坏基地场地，每次扣5分，需还原场地，若造成损失需照价赔偿。同一违规情况超过三次将暂停违规团队本月借用基地场地资格。</w:t>
      </w:r>
    </w:p>
    <w:p w14:paraId="24071B16">
      <w:r>
        <w:rPr>
          <w:rFonts w:hint="eastAsia"/>
        </w:rPr>
        <w:t>6.违规使用、丢失、损坏或使用后未归还基地物资，每次扣5分，并照价赔偿。同一违规情况超过三次讲暂停团队本学期基地物资借用资格。</w:t>
      </w:r>
    </w:p>
    <w:p w14:paraId="32E20B3C">
      <w:r>
        <w:rPr>
          <w:rFonts w:hint="eastAsia"/>
        </w:rPr>
        <w:t>7</w:t>
      </w:r>
      <w:r>
        <w:t>.</w:t>
      </w:r>
      <w:r>
        <w:rPr>
          <w:rFonts w:hint="eastAsia"/>
        </w:rPr>
        <w:t>将基地办公场地借用、租售、买卖他人或与他人共享，取消团队场地使用资格，认定团队考核结果不及格，并追究团队法律责任。</w:t>
      </w:r>
    </w:p>
    <w:p w14:paraId="26AAAD78">
      <w:r>
        <w:rPr>
          <w:rFonts w:hint="eastAsia"/>
        </w:rPr>
        <w:t>8</w:t>
      </w:r>
      <w:r>
        <w:t>.</w:t>
      </w:r>
      <w:r>
        <w:rPr>
          <w:rFonts w:hint="eastAsia"/>
        </w:rPr>
        <w:t>未经允许擅自使用基地办公场所用于与团队发展无关的个人事务，每人每次扣3分。</w:t>
      </w:r>
    </w:p>
    <w:p w14:paraId="1F314ECB">
      <w:r>
        <w:rPr>
          <w:rFonts w:hint="eastAsia"/>
        </w:rPr>
        <w:t>9</w:t>
      </w:r>
      <w:r>
        <w:t>.</w:t>
      </w:r>
      <w:r>
        <w:rPr>
          <w:rFonts w:hint="eastAsia"/>
        </w:rPr>
        <w:t>未经允许在基地未开放时间段使用基地办公场地，每人每次扣3分。</w:t>
      </w:r>
    </w:p>
    <w:p w14:paraId="108CEF78">
      <w:r>
        <w:rPr>
          <w:rFonts w:hint="eastAsia"/>
        </w:rPr>
        <w:t>1</w:t>
      </w:r>
      <w:r>
        <w:t>0.</w:t>
      </w:r>
      <w:r>
        <w:rPr>
          <w:rFonts w:hint="eastAsia"/>
        </w:rPr>
        <w:t>利用基地场地进行违法活动、宗教活动等，取消团队入驻/入库资格，并将追究团队法律责任。</w:t>
      </w:r>
    </w:p>
    <w:p w14:paraId="5A5798A5">
      <w:r>
        <w:rPr>
          <w:rFonts w:hint="eastAsia"/>
        </w:rPr>
        <w:t>1</w:t>
      </w:r>
      <w:r>
        <w:t>1.</w:t>
      </w:r>
      <w:r>
        <w:rPr>
          <w:rFonts w:hint="eastAsia"/>
        </w:rPr>
        <w:t>进入基地未佩戴工牌、未主动配合助理登记相关信息，做口头提醒。情节严重的根据具体情况进行处罚。</w:t>
      </w:r>
    </w:p>
    <w:p w14:paraId="58891305">
      <w:r>
        <w:rPr>
          <w:rFonts w:hint="eastAsia"/>
        </w:rPr>
        <w:t>1</w:t>
      </w:r>
      <w:r>
        <w:t>2.</w:t>
      </w:r>
      <w:r>
        <w:rPr>
          <w:rFonts w:hint="eastAsia"/>
        </w:rPr>
        <w:t>团队使用基地场地后未清理垃圾、团队成员晚上离开后工位垃圾桶未清理，每次扣2分。</w:t>
      </w:r>
    </w:p>
    <w:p w14:paraId="2DCA2590">
      <w:r>
        <w:rPr>
          <w:rFonts w:hint="eastAsia"/>
        </w:rPr>
        <w:t>1</w:t>
      </w:r>
      <w:r>
        <w:t>3.</w:t>
      </w:r>
      <w:r>
        <w:rPr>
          <w:rFonts w:hint="eastAsia"/>
        </w:rPr>
        <w:t>团队离开后未关闭空调、照明灯或团队用电设备的，每次扣3分。超过3次将取消团队周团队使用基地场地资格。</w:t>
      </w:r>
    </w:p>
    <w:p w14:paraId="578A6786">
      <w:r>
        <w:rPr>
          <w:rFonts w:hint="eastAsia"/>
        </w:rPr>
        <w:t>1</w:t>
      </w:r>
      <w:r>
        <w:t>4.</w:t>
      </w:r>
      <w:r>
        <w:rPr>
          <w:rFonts w:hint="eastAsia"/>
        </w:rPr>
        <w:t>携带大型蓄电池、腐蚀化学试剂、爆炸性等其他危险物品进入基地的，一经发现将取消团队本学期使用基地场地资格，考核总成绩直接认定为6</w:t>
      </w:r>
      <w:r>
        <w:t>0</w:t>
      </w:r>
      <w:r>
        <w:rPr>
          <w:rFonts w:hint="eastAsia"/>
        </w:rPr>
        <w:t>分。造成的实际损失的须由团队赔偿所有损失，并追究其法律责任。</w:t>
      </w:r>
    </w:p>
    <w:p w14:paraId="5B46CEAA">
      <w:r>
        <w:rPr>
          <w:rFonts w:hint="eastAsia"/>
        </w:rPr>
        <w:t>1</w:t>
      </w:r>
      <w:r>
        <w:t>5.</w:t>
      </w:r>
      <w:r>
        <w:rPr>
          <w:rFonts w:hint="eastAsia"/>
        </w:rPr>
        <w:t>携带宠物、干扰性设备、酒精饮料、外卖、零食、水果等进入基地每人每次扣3分。</w:t>
      </w:r>
    </w:p>
    <w:p w14:paraId="32FEE1E2">
      <w:r>
        <w:rPr>
          <w:rFonts w:hint="eastAsia"/>
        </w:rPr>
        <w:t>1</w:t>
      </w:r>
      <w:r>
        <w:t>6.</w:t>
      </w:r>
      <w:r>
        <w:rPr>
          <w:rFonts w:hint="eastAsia"/>
        </w:rPr>
        <w:t>未经允许使用校徽、创院院徽以及“华师”、“创院”等字样的，将给予严肃警告并要求整改，情节严重将追究其法律责任。</w:t>
      </w:r>
    </w:p>
    <w:p w14:paraId="007EA495">
      <w:r>
        <w:rPr>
          <w:rFonts w:hint="eastAsia"/>
        </w:rPr>
        <w:t>1</w:t>
      </w:r>
      <w:r>
        <w:t>7.</w:t>
      </w:r>
      <w:r>
        <w:rPr>
          <w:rFonts w:hint="eastAsia"/>
        </w:rPr>
        <w:t>未经允许擅自更面项目经营内容，给予警告处分，并要求团队在一周内提出提交相关申请，经审核通过后方可继续入驻/入库。</w:t>
      </w:r>
    </w:p>
    <w:p w14:paraId="7DD85F1E">
      <w:r>
        <w:rPr>
          <w:rFonts w:hint="eastAsia"/>
        </w:rPr>
        <w:t>1</w:t>
      </w:r>
      <w:r>
        <w:t>8.</w:t>
      </w:r>
      <w:r>
        <w:rPr>
          <w:rFonts w:hint="eastAsia"/>
        </w:rPr>
        <w:t>未经允许擅自使用基地创院、华师名义进行商业活动，给予团队严肃警告并整改，情节严重将追究法律责任。</w:t>
      </w:r>
    </w:p>
    <w:p w14:paraId="73EC740D">
      <w:pPr>
        <w:rPr>
          <w:rFonts w:cs="Cambria"/>
        </w:rPr>
      </w:pPr>
      <w:r>
        <w:rPr>
          <w:rFonts w:hint="eastAsia"/>
        </w:rPr>
        <w:t>1</w:t>
      </w:r>
      <w:r>
        <w:t>9.</w:t>
      </w:r>
      <w:r>
        <w:rPr>
          <w:rFonts w:hint="eastAsia"/>
        </w:rPr>
        <w:t>在基地违规用电，使用违规电器等，每人每次扣5分。若因违规用电或使用违规电器造成的一切损失，</w:t>
      </w:r>
      <w:r>
        <w:rPr>
          <w:rFonts w:hint="eastAsia" w:cs="Cambria"/>
        </w:rPr>
        <w:t>由责任团队承担。</w:t>
      </w:r>
    </w:p>
    <w:p w14:paraId="25187AE1">
      <w:r>
        <w:rPr>
          <w:rFonts w:hint="eastAsia"/>
        </w:rPr>
        <w:t>2</w:t>
      </w:r>
      <w:r>
        <w:t>0.</w:t>
      </w:r>
      <w:r>
        <w:rPr>
          <w:rFonts w:hint="eastAsia"/>
        </w:rPr>
        <w:t>在基地任何范围内食用零食、水果、外卖，每人每次扣2分。违规超过三次，取消该成员本学期的场地使用资格。</w:t>
      </w:r>
    </w:p>
    <w:p w14:paraId="62250F38">
      <w:r>
        <w:rPr>
          <w:rFonts w:hint="eastAsia"/>
        </w:rPr>
        <w:t>2</w:t>
      </w:r>
      <w:r>
        <w:t>1.</w:t>
      </w:r>
      <w:r>
        <w:rPr>
          <w:rFonts w:hint="eastAsia"/>
        </w:rPr>
        <w:t>在基地违规倾倒垃圾、乱丢垃圾、随地吐痰、违规抽烟等违反基地卫生管理办法行为，每人每次扣2分。违规超过三次，取消该成员本学期的场地使用资格。</w:t>
      </w:r>
    </w:p>
    <w:p w14:paraId="2BA33595">
      <w:r>
        <w:rPr>
          <w:rFonts w:hint="eastAsia"/>
        </w:rPr>
        <w:t>2</w:t>
      </w:r>
      <w:r>
        <w:t>2.</w:t>
      </w:r>
      <w:r>
        <w:rPr>
          <w:rFonts w:hint="eastAsia"/>
        </w:rPr>
        <w:t>进入基地未配合助理进行疫情防控信息登记或佩戴口罩的，作口头提醒。提醒后仍拒绝配合的禁止该成员进入基地办公。</w:t>
      </w:r>
    </w:p>
    <w:p w14:paraId="075262EC">
      <w:r>
        <w:rPr>
          <w:rFonts w:hint="eastAsia"/>
        </w:rPr>
        <w:t>2</w:t>
      </w:r>
      <w:r>
        <w:t>3.</w:t>
      </w:r>
      <w:r>
        <w:rPr>
          <w:rFonts w:hint="eastAsia"/>
        </w:rPr>
        <w:t>未经允许擅自进入或携带无关人员及校外成员进入基地，并未作疫情健康审报，相应团队扣2分，并作严肃警告。</w:t>
      </w:r>
    </w:p>
    <w:p w14:paraId="5C9612DE">
      <w:r>
        <w:rPr>
          <w:rFonts w:hint="eastAsia"/>
        </w:rPr>
        <w:t>2</w:t>
      </w:r>
      <w:r>
        <w:t>4.</w:t>
      </w:r>
      <w:r>
        <w:rPr>
          <w:rFonts w:hint="eastAsia"/>
        </w:rPr>
        <w:t>校外成员到校办公审报材料作假、谎报等，每人每次扣1</w:t>
      </w:r>
      <w:r>
        <w:t>0</w:t>
      </w:r>
      <w:r>
        <w:rPr>
          <w:rFonts w:hint="eastAsia"/>
        </w:rPr>
        <w:t>分，并取消该成员本学期到校办公资格。</w:t>
      </w:r>
    </w:p>
    <w:p w14:paraId="45745B21">
      <w:r>
        <w:rPr>
          <w:rFonts w:hint="eastAsia"/>
        </w:rPr>
        <w:t>2</w:t>
      </w:r>
      <w:r>
        <w:t>5.</w:t>
      </w:r>
      <w:r>
        <w:rPr>
          <w:rFonts w:hint="eastAsia"/>
        </w:rPr>
        <w:t>团队成员未按时配合基地审报健康情况及两码信息的，作口头提醒。提醒后仍未配合提交材料的，每人每次扣</w:t>
      </w:r>
      <w:r>
        <w:t>2</w:t>
      </w:r>
      <w:r>
        <w:rPr>
          <w:rFonts w:hint="eastAsia"/>
        </w:rPr>
        <w:t>分。</w:t>
      </w:r>
    </w:p>
    <w:p w14:paraId="7F9E5E69">
      <w:pPr>
        <w:rPr>
          <w:rFonts w:ascii="宋体-简" w:hAnsi="宋体-简" w:eastAsia="宋体-简"/>
          <w:bCs/>
        </w:rPr>
      </w:pPr>
    </w:p>
    <w:p w14:paraId="24986E4B">
      <w:pPr>
        <w:rPr>
          <w:rFonts w:ascii="宋体-简" w:hAnsi="宋体-简" w:eastAsia="宋体-简"/>
          <w:bCs/>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宋体-简">
    <w:altName w:val="宋体"/>
    <w:panose1 w:val="00000000000000000000"/>
    <w:charset w:val="86"/>
    <w:family w:val="auto"/>
    <w:pitch w:val="default"/>
    <w:sig w:usb0="00000000" w:usb1="00000000" w:usb2="00000010" w:usb3="00000000" w:csb0="0004009F" w:csb1="00000000"/>
  </w:font>
  <w:font w:name="Arial Unicode MS">
    <w:altName w:val="宋体"/>
    <w:panose1 w:val="020B0604020202020204"/>
    <w:charset w:val="86"/>
    <w:family w:val="auto"/>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FFCC">
    <w:pPr>
      <w:pStyle w:val="8"/>
      <w:rPr>
        <w:rFonts w:hint="eastAsia"/>
      </w:rPr>
    </w:pPr>
    <w:r>
      <w:rPr>
        <w:rFonts w:hint="eastAsia"/>
      </w:rPr>
      <w:drawing>
        <wp:inline distT="0" distB="0" distL="114300" distR="114300">
          <wp:extent cx="1444625" cy="451485"/>
          <wp:effectExtent l="0" t="0" r="3175" b="5715"/>
          <wp:docPr id="1" name="图片 1" descr="C:/Users/95953/Desktop/微信图片_20240428105817.png微信图片_20240428105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95953/Desktop/微信图片_20240428105817.png微信图片_20240428105817"/>
                  <pic:cNvPicPr>
                    <a:picLocks noChangeAspect="1"/>
                  </pic:cNvPicPr>
                </pic:nvPicPr>
                <pic:blipFill>
                  <a:blip r:embed="rId1"/>
                  <a:srcRect t="5515" b="5515"/>
                  <a:stretch>
                    <a:fillRect/>
                  </a:stretch>
                </pic:blipFill>
                <pic:spPr>
                  <a:xfrm>
                    <a:off x="0" y="0"/>
                    <a:ext cx="1444625" cy="4514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mODFkMWEyMWQyYTZjZjU4MTc4ZmJkMDk5YzEwNzQifQ=="/>
  </w:docVars>
  <w:rsids>
    <w:rsidRoot w:val="00FE1F41"/>
    <w:rsid w:val="00000C08"/>
    <w:rsid w:val="00002A0D"/>
    <w:rsid w:val="00002B9D"/>
    <w:rsid w:val="00003CDD"/>
    <w:rsid w:val="00006C2D"/>
    <w:rsid w:val="00007151"/>
    <w:rsid w:val="000100A0"/>
    <w:rsid w:val="00011170"/>
    <w:rsid w:val="00012AE5"/>
    <w:rsid w:val="00021A30"/>
    <w:rsid w:val="00022B50"/>
    <w:rsid w:val="000236D5"/>
    <w:rsid w:val="00035A40"/>
    <w:rsid w:val="00047F8D"/>
    <w:rsid w:val="00053B90"/>
    <w:rsid w:val="00054E51"/>
    <w:rsid w:val="000572C9"/>
    <w:rsid w:val="00070C87"/>
    <w:rsid w:val="00071173"/>
    <w:rsid w:val="00073042"/>
    <w:rsid w:val="000750AF"/>
    <w:rsid w:val="00075F05"/>
    <w:rsid w:val="00077500"/>
    <w:rsid w:val="00080445"/>
    <w:rsid w:val="00083A47"/>
    <w:rsid w:val="00085094"/>
    <w:rsid w:val="00085C07"/>
    <w:rsid w:val="00086CCC"/>
    <w:rsid w:val="00087873"/>
    <w:rsid w:val="00087898"/>
    <w:rsid w:val="000929A9"/>
    <w:rsid w:val="0009335E"/>
    <w:rsid w:val="00093BA6"/>
    <w:rsid w:val="000973CF"/>
    <w:rsid w:val="000A07A7"/>
    <w:rsid w:val="000A0DEC"/>
    <w:rsid w:val="000A3331"/>
    <w:rsid w:val="000A3AF9"/>
    <w:rsid w:val="000A4C55"/>
    <w:rsid w:val="000A512D"/>
    <w:rsid w:val="000A61A6"/>
    <w:rsid w:val="000B1772"/>
    <w:rsid w:val="000B43E9"/>
    <w:rsid w:val="000C0DA4"/>
    <w:rsid w:val="000C1E8D"/>
    <w:rsid w:val="000C2358"/>
    <w:rsid w:val="000C2375"/>
    <w:rsid w:val="000C35C5"/>
    <w:rsid w:val="000C79D8"/>
    <w:rsid w:val="000D6A95"/>
    <w:rsid w:val="000D7193"/>
    <w:rsid w:val="000E4BCD"/>
    <w:rsid w:val="000E673E"/>
    <w:rsid w:val="000E752F"/>
    <w:rsid w:val="000F0127"/>
    <w:rsid w:val="000F0C08"/>
    <w:rsid w:val="000F1765"/>
    <w:rsid w:val="000F51FF"/>
    <w:rsid w:val="00100161"/>
    <w:rsid w:val="00101AAF"/>
    <w:rsid w:val="00101B41"/>
    <w:rsid w:val="00106662"/>
    <w:rsid w:val="00107392"/>
    <w:rsid w:val="0011476F"/>
    <w:rsid w:val="001201DF"/>
    <w:rsid w:val="00123091"/>
    <w:rsid w:val="00123BED"/>
    <w:rsid w:val="00125206"/>
    <w:rsid w:val="00126217"/>
    <w:rsid w:val="001321B1"/>
    <w:rsid w:val="00140BD0"/>
    <w:rsid w:val="00142ABC"/>
    <w:rsid w:val="00142CA5"/>
    <w:rsid w:val="0014305A"/>
    <w:rsid w:val="0014357F"/>
    <w:rsid w:val="00147490"/>
    <w:rsid w:val="0015176D"/>
    <w:rsid w:val="00156141"/>
    <w:rsid w:val="001628F3"/>
    <w:rsid w:val="0016467A"/>
    <w:rsid w:val="00165421"/>
    <w:rsid w:val="001935BC"/>
    <w:rsid w:val="00196B28"/>
    <w:rsid w:val="001971C1"/>
    <w:rsid w:val="001A4FA9"/>
    <w:rsid w:val="001B29AA"/>
    <w:rsid w:val="001B2E69"/>
    <w:rsid w:val="001B2F81"/>
    <w:rsid w:val="001B4C27"/>
    <w:rsid w:val="001B688D"/>
    <w:rsid w:val="001B7443"/>
    <w:rsid w:val="001C5294"/>
    <w:rsid w:val="001C6AB6"/>
    <w:rsid w:val="001C72B7"/>
    <w:rsid w:val="001D0DF4"/>
    <w:rsid w:val="001D3CD0"/>
    <w:rsid w:val="001D511C"/>
    <w:rsid w:val="001D6640"/>
    <w:rsid w:val="001E05B9"/>
    <w:rsid w:val="001E23AA"/>
    <w:rsid w:val="001F4506"/>
    <w:rsid w:val="002025EF"/>
    <w:rsid w:val="002035E9"/>
    <w:rsid w:val="00204DFA"/>
    <w:rsid w:val="002054F6"/>
    <w:rsid w:val="00211012"/>
    <w:rsid w:val="002129F5"/>
    <w:rsid w:val="00217300"/>
    <w:rsid w:val="002250A3"/>
    <w:rsid w:val="0022511C"/>
    <w:rsid w:val="002277C5"/>
    <w:rsid w:val="002308D3"/>
    <w:rsid w:val="002309E6"/>
    <w:rsid w:val="0024053C"/>
    <w:rsid w:val="002439A5"/>
    <w:rsid w:val="00244928"/>
    <w:rsid w:val="002453F0"/>
    <w:rsid w:val="002456B6"/>
    <w:rsid w:val="00245F0C"/>
    <w:rsid w:val="00247012"/>
    <w:rsid w:val="00247A77"/>
    <w:rsid w:val="00250ED0"/>
    <w:rsid w:val="00255203"/>
    <w:rsid w:val="00255980"/>
    <w:rsid w:val="0025601D"/>
    <w:rsid w:val="002600A3"/>
    <w:rsid w:val="00260AC1"/>
    <w:rsid w:val="00262086"/>
    <w:rsid w:val="00270480"/>
    <w:rsid w:val="00272B08"/>
    <w:rsid w:val="0027337E"/>
    <w:rsid w:val="00274140"/>
    <w:rsid w:val="0027437A"/>
    <w:rsid w:val="00276190"/>
    <w:rsid w:val="0028200C"/>
    <w:rsid w:val="00283089"/>
    <w:rsid w:val="002867A9"/>
    <w:rsid w:val="0029047B"/>
    <w:rsid w:val="00291F0D"/>
    <w:rsid w:val="00294DD2"/>
    <w:rsid w:val="00295189"/>
    <w:rsid w:val="00296217"/>
    <w:rsid w:val="00296B0E"/>
    <w:rsid w:val="002A15EC"/>
    <w:rsid w:val="002A26FE"/>
    <w:rsid w:val="002A2D6A"/>
    <w:rsid w:val="002A3929"/>
    <w:rsid w:val="002A4D59"/>
    <w:rsid w:val="002A61C1"/>
    <w:rsid w:val="002A6ACA"/>
    <w:rsid w:val="002B0C41"/>
    <w:rsid w:val="002B2D5C"/>
    <w:rsid w:val="002B31F7"/>
    <w:rsid w:val="002C0991"/>
    <w:rsid w:val="002C0BF6"/>
    <w:rsid w:val="002D02C5"/>
    <w:rsid w:val="002D3AEF"/>
    <w:rsid w:val="002D413A"/>
    <w:rsid w:val="002D5FAE"/>
    <w:rsid w:val="002D60E5"/>
    <w:rsid w:val="002E03BC"/>
    <w:rsid w:val="002E04E9"/>
    <w:rsid w:val="002E3997"/>
    <w:rsid w:val="002E464B"/>
    <w:rsid w:val="002F0C03"/>
    <w:rsid w:val="002F569D"/>
    <w:rsid w:val="002F5A99"/>
    <w:rsid w:val="002F70CD"/>
    <w:rsid w:val="00301D13"/>
    <w:rsid w:val="00302297"/>
    <w:rsid w:val="003026DF"/>
    <w:rsid w:val="00302D85"/>
    <w:rsid w:val="00303328"/>
    <w:rsid w:val="0030339A"/>
    <w:rsid w:val="00303838"/>
    <w:rsid w:val="00311C28"/>
    <w:rsid w:val="00313345"/>
    <w:rsid w:val="003135C0"/>
    <w:rsid w:val="00314D9C"/>
    <w:rsid w:val="003161B4"/>
    <w:rsid w:val="003163C0"/>
    <w:rsid w:val="00327B05"/>
    <w:rsid w:val="00331027"/>
    <w:rsid w:val="00331D29"/>
    <w:rsid w:val="00342F68"/>
    <w:rsid w:val="0034317B"/>
    <w:rsid w:val="003439FB"/>
    <w:rsid w:val="00343BE0"/>
    <w:rsid w:val="0034750D"/>
    <w:rsid w:val="00347528"/>
    <w:rsid w:val="00347D96"/>
    <w:rsid w:val="00351E57"/>
    <w:rsid w:val="003532C5"/>
    <w:rsid w:val="003554A1"/>
    <w:rsid w:val="00363AEA"/>
    <w:rsid w:val="00364093"/>
    <w:rsid w:val="00365F66"/>
    <w:rsid w:val="00372EAF"/>
    <w:rsid w:val="00374F67"/>
    <w:rsid w:val="00376820"/>
    <w:rsid w:val="003778E8"/>
    <w:rsid w:val="00382145"/>
    <w:rsid w:val="003821B1"/>
    <w:rsid w:val="00386ED6"/>
    <w:rsid w:val="003909EA"/>
    <w:rsid w:val="003910EE"/>
    <w:rsid w:val="00391617"/>
    <w:rsid w:val="003926F0"/>
    <w:rsid w:val="00397CB7"/>
    <w:rsid w:val="003A37D6"/>
    <w:rsid w:val="003A471C"/>
    <w:rsid w:val="003B28A0"/>
    <w:rsid w:val="003B5AE7"/>
    <w:rsid w:val="003B78C0"/>
    <w:rsid w:val="003C3DF5"/>
    <w:rsid w:val="003D2BBA"/>
    <w:rsid w:val="003D7703"/>
    <w:rsid w:val="003E3C01"/>
    <w:rsid w:val="003E3D80"/>
    <w:rsid w:val="003F083A"/>
    <w:rsid w:val="003F0A03"/>
    <w:rsid w:val="003F121B"/>
    <w:rsid w:val="003F156D"/>
    <w:rsid w:val="003F4259"/>
    <w:rsid w:val="003F4DC6"/>
    <w:rsid w:val="003F58FA"/>
    <w:rsid w:val="003F5942"/>
    <w:rsid w:val="003F649E"/>
    <w:rsid w:val="004013BC"/>
    <w:rsid w:val="004045B7"/>
    <w:rsid w:val="004066E1"/>
    <w:rsid w:val="00407A9B"/>
    <w:rsid w:val="00420540"/>
    <w:rsid w:val="004213BA"/>
    <w:rsid w:val="00426EFA"/>
    <w:rsid w:val="00430E47"/>
    <w:rsid w:val="00435942"/>
    <w:rsid w:val="00437249"/>
    <w:rsid w:val="00437DDE"/>
    <w:rsid w:val="00443C5D"/>
    <w:rsid w:val="00451387"/>
    <w:rsid w:val="00455656"/>
    <w:rsid w:val="004628B7"/>
    <w:rsid w:val="00467279"/>
    <w:rsid w:val="004702B7"/>
    <w:rsid w:val="00472CC5"/>
    <w:rsid w:val="004738E9"/>
    <w:rsid w:val="004755F7"/>
    <w:rsid w:val="0048290C"/>
    <w:rsid w:val="0048336C"/>
    <w:rsid w:val="00483F56"/>
    <w:rsid w:val="004841A1"/>
    <w:rsid w:val="00490539"/>
    <w:rsid w:val="00491066"/>
    <w:rsid w:val="00492C78"/>
    <w:rsid w:val="00493448"/>
    <w:rsid w:val="004954C3"/>
    <w:rsid w:val="00496640"/>
    <w:rsid w:val="004A2F32"/>
    <w:rsid w:val="004A5916"/>
    <w:rsid w:val="004A7833"/>
    <w:rsid w:val="004A7A26"/>
    <w:rsid w:val="004B1D8E"/>
    <w:rsid w:val="004C05F9"/>
    <w:rsid w:val="004D079D"/>
    <w:rsid w:val="004D59D8"/>
    <w:rsid w:val="004D6BC3"/>
    <w:rsid w:val="004E0C76"/>
    <w:rsid w:val="004E1A34"/>
    <w:rsid w:val="004E2BD2"/>
    <w:rsid w:val="004E5FF1"/>
    <w:rsid w:val="004F3EE9"/>
    <w:rsid w:val="004F616C"/>
    <w:rsid w:val="004F6BC1"/>
    <w:rsid w:val="004F7369"/>
    <w:rsid w:val="00501E0F"/>
    <w:rsid w:val="00502FA3"/>
    <w:rsid w:val="00504952"/>
    <w:rsid w:val="00523D53"/>
    <w:rsid w:val="00524214"/>
    <w:rsid w:val="00524C84"/>
    <w:rsid w:val="00526004"/>
    <w:rsid w:val="005261E4"/>
    <w:rsid w:val="0053017E"/>
    <w:rsid w:val="00531580"/>
    <w:rsid w:val="005338E3"/>
    <w:rsid w:val="0053492C"/>
    <w:rsid w:val="00534D6C"/>
    <w:rsid w:val="00535C39"/>
    <w:rsid w:val="005432EA"/>
    <w:rsid w:val="00543C50"/>
    <w:rsid w:val="005474AD"/>
    <w:rsid w:val="005505EC"/>
    <w:rsid w:val="005519CB"/>
    <w:rsid w:val="00553E4E"/>
    <w:rsid w:val="00557C60"/>
    <w:rsid w:val="00557F92"/>
    <w:rsid w:val="00567FFD"/>
    <w:rsid w:val="00571BD7"/>
    <w:rsid w:val="005758CF"/>
    <w:rsid w:val="00576B41"/>
    <w:rsid w:val="00590B15"/>
    <w:rsid w:val="005973CB"/>
    <w:rsid w:val="005A2F65"/>
    <w:rsid w:val="005A35FB"/>
    <w:rsid w:val="005A7BD8"/>
    <w:rsid w:val="005B0785"/>
    <w:rsid w:val="005B144C"/>
    <w:rsid w:val="005B1B02"/>
    <w:rsid w:val="005B3139"/>
    <w:rsid w:val="005B3E8A"/>
    <w:rsid w:val="005B7C2C"/>
    <w:rsid w:val="005C0D40"/>
    <w:rsid w:val="005C2D53"/>
    <w:rsid w:val="005C6306"/>
    <w:rsid w:val="005C631A"/>
    <w:rsid w:val="005D1D7E"/>
    <w:rsid w:val="005D1E56"/>
    <w:rsid w:val="005D2198"/>
    <w:rsid w:val="005F2760"/>
    <w:rsid w:val="006032F2"/>
    <w:rsid w:val="006062E5"/>
    <w:rsid w:val="00616495"/>
    <w:rsid w:val="006224BB"/>
    <w:rsid w:val="006228AD"/>
    <w:rsid w:val="00623D97"/>
    <w:rsid w:val="00624889"/>
    <w:rsid w:val="00630356"/>
    <w:rsid w:val="00630BBD"/>
    <w:rsid w:val="006347B1"/>
    <w:rsid w:val="00634AFD"/>
    <w:rsid w:val="00637AD3"/>
    <w:rsid w:val="0064035D"/>
    <w:rsid w:val="006445DB"/>
    <w:rsid w:val="006450BE"/>
    <w:rsid w:val="006521F5"/>
    <w:rsid w:val="006574D0"/>
    <w:rsid w:val="0066073C"/>
    <w:rsid w:val="006664E7"/>
    <w:rsid w:val="00670558"/>
    <w:rsid w:val="006720E6"/>
    <w:rsid w:val="00674A87"/>
    <w:rsid w:val="00674B7B"/>
    <w:rsid w:val="00675820"/>
    <w:rsid w:val="006762F0"/>
    <w:rsid w:val="00686391"/>
    <w:rsid w:val="0068770E"/>
    <w:rsid w:val="00687C33"/>
    <w:rsid w:val="00690D8D"/>
    <w:rsid w:val="00695523"/>
    <w:rsid w:val="006A23EC"/>
    <w:rsid w:val="006A67A3"/>
    <w:rsid w:val="006A6BBB"/>
    <w:rsid w:val="006B37F1"/>
    <w:rsid w:val="006B3F1A"/>
    <w:rsid w:val="006B442F"/>
    <w:rsid w:val="006B6B92"/>
    <w:rsid w:val="006B751A"/>
    <w:rsid w:val="006C09E2"/>
    <w:rsid w:val="006C18CE"/>
    <w:rsid w:val="006C2B63"/>
    <w:rsid w:val="006C3A2B"/>
    <w:rsid w:val="006C5F34"/>
    <w:rsid w:val="006D2679"/>
    <w:rsid w:val="006D3A4D"/>
    <w:rsid w:val="006E0F5B"/>
    <w:rsid w:val="006E7D7D"/>
    <w:rsid w:val="006F0753"/>
    <w:rsid w:val="006F439E"/>
    <w:rsid w:val="006F5547"/>
    <w:rsid w:val="00707637"/>
    <w:rsid w:val="007104F3"/>
    <w:rsid w:val="007154B2"/>
    <w:rsid w:val="00717A49"/>
    <w:rsid w:val="00724A32"/>
    <w:rsid w:val="00726525"/>
    <w:rsid w:val="007310BF"/>
    <w:rsid w:val="007412D7"/>
    <w:rsid w:val="00743D6C"/>
    <w:rsid w:val="00744102"/>
    <w:rsid w:val="00744952"/>
    <w:rsid w:val="007473D0"/>
    <w:rsid w:val="00750BAA"/>
    <w:rsid w:val="00754165"/>
    <w:rsid w:val="0076422E"/>
    <w:rsid w:val="00765DAF"/>
    <w:rsid w:val="00771408"/>
    <w:rsid w:val="00772DEB"/>
    <w:rsid w:val="0078462E"/>
    <w:rsid w:val="0078555C"/>
    <w:rsid w:val="007865FF"/>
    <w:rsid w:val="0079303D"/>
    <w:rsid w:val="00795610"/>
    <w:rsid w:val="007962D4"/>
    <w:rsid w:val="0079778A"/>
    <w:rsid w:val="007A0877"/>
    <w:rsid w:val="007A14A3"/>
    <w:rsid w:val="007A1542"/>
    <w:rsid w:val="007A2C0E"/>
    <w:rsid w:val="007A2D85"/>
    <w:rsid w:val="007A5BBB"/>
    <w:rsid w:val="007A607B"/>
    <w:rsid w:val="007A69F6"/>
    <w:rsid w:val="007A7EB9"/>
    <w:rsid w:val="007B34BE"/>
    <w:rsid w:val="007B7FCE"/>
    <w:rsid w:val="007C50F6"/>
    <w:rsid w:val="007C54F6"/>
    <w:rsid w:val="007D2C52"/>
    <w:rsid w:val="007D55ED"/>
    <w:rsid w:val="007D6873"/>
    <w:rsid w:val="007D6E3C"/>
    <w:rsid w:val="007E3C96"/>
    <w:rsid w:val="007E4FE7"/>
    <w:rsid w:val="007E6EF3"/>
    <w:rsid w:val="007F0B2C"/>
    <w:rsid w:val="007F1924"/>
    <w:rsid w:val="007F38E4"/>
    <w:rsid w:val="007F52F1"/>
    <w:rsid w:val="007F565F"/>
    <w:rsid w:val="007F60E5"/>
    <w:rsid w:val="00801CCF"/>
    <w:rsid w:val="00803EDE"/>
    <w:rsid w:val="00804491"/>
    <w:rsid w:val="008110C8"/>
    <w:rsid w:val="0082102F"/>
    <w:rsid w:val="00826DD1"/>
    <w:rsid w:val="00831084"/>
    <w:rsid w:val="00831E00"/>
    <w:rsid w:val="00832C17"/>
    <w:rsid w:val="0084392C"/>
    <w:rsid w:val="008509BF"/>
    <w:rsid w:val="0085256F"/>
    <w:rsid w:val="00855C20"/>
    <w:rsid w:val="008564EB"/>
    <w:rsid w:val="00856556"/>
    <w:rsid w:val="0086096C"/>
    <w:rsid w:val="00863C7E"/>
    <w:rsid w:val="00866E54"/>
    <w:rsid w:val="00870D1A"/>
    <w:rsid w:val="00870E92"/>
    <w:rsid w:val="00874F10"/>
    <w:rsid w:val="008802FD"/>
    <w:rsid w:val="0088166A"/>
    <w:rsid w:val="008823AA"/>
    <w:rsid w:val="00884ABA"/>
    <w:rsid w:val="00891A52"/>
    <w:rsid w:val="00892B16"/>
    <w:rsid w:val="00894073"/>
    <w:rsid w:val="0089557C"/>
    <w:rsid w:val="008A02FC"/>
    <w:rsid w:val="008A09E0"/>
    <w:rsid w:val="008A46EF"/>
    <w:rsid w:val="008A5738"/>
    <w:rsid w:val="008B0ACB"/>
    <w:rsid w:val="008B0AE5"/>
    <w:rsid w:val="008B1E77"/>
    <w:rsid w:val="008B2844"/>
    <w:rsid w:val="008B3F63"/>
    <w:rsid w:val="008B5C2B"/>
    <w:rsid w:val="008B7880"/>
    <w:rsid w:val="008C490D"/>
    <w:rsid w:val="008C6636"/>
    <w:rsid w:val="008D06A7"/>
    <w:rsid w:val="008D21A7"/>
    <w:rsid w:val="008D3BC7"/>
    <w:rsid w:val="008D3C33"/>
    <w:rsid w:val="008E0078"/>
    <w:rsid w:val="008E2520"/>
    <w:rsid w:val="008E2CF5"/>
    <w:rsid w:val="008E32C1"/>
    <w:rsid w:val="008E4CB2"/>
    <w:rsid w:val="008E7437"/>
    <w:rsid w:val="008F00A1"/>
    <w:rsid w:val="008F17E6"/>
    <w:rsid w:val="008F3EFC"/>
    <w:rsid w:val="008F545B"/>
    <w:rsid w:val="00906289"/>
    <w:rsid w:val="00907B73"/>
    <w:rsid w:val="00910060"/>
    <w:rsid w:val="009145B1"/>
    <w:rsid w:val="00927AF6"/>
    <w:rsid w:val="00931D01"/>
    <w:rsid w:val="00932645"/>
    <w:rsid w:val="009414A4"/>
    <w:rsid w:val="00950267"/>
    <w:rsid w:val="00952626"/>
    <w:rsid w:val="00954D37"/>
    <w:rsid w:val="00957A7B"/>
    <w:rsid w:val="00961BF7"/>
    <w:rsid w:val="00964048"/>
    <w:rsid w:val="00965731"/>
    <w:rsid w:val="00966210"/>
    <w:rsid w:val="00967BF9"/>
    <w:rsid w:val="00971F11"/>
    <w:rsid w:val="00976C78"/>
    <w:rsid w:val="0097702B"/>
    <w:rsid w:val="00977710"/>
    <w:rsid w:val="00981D1D"/>
    <w:rsid w:val="0098731C"/>
    <w:rsid w:val="009875FD"/>
    <w:rsid w:val="00992F45"/>
    <w:rsid w:val="00995261"/>
    <w:rsid w:val="00995D8B"/>
    <w:rsid w:val="009A1818"/>
    <w:rsid w:val="009A1A14"/>
    <w:rsid w:val="009A2251"/>
    <w:rsid w:val="009A25B7"/>
    <w:rsid w:val="009A6274"/>
    <w:rsid w:val="009A7320"/>
    <w:rsid w:val="009A7806"/>
    <w:rsid w:val="009B11F0"/>
    <w:rsid w:val="009B564D"/>
    <w:rsid w:val="009B65D7"/>
    <w:rsid w:val="009C1776"/>
    <w:rsid w:val="009C26C3"/>
    <w:rsid w:val="009C73DA"/>
    <w:rsid w:val="009C7A41"/>
    <w:rsid w:val="009C7DD1"/>
    <w:rsid w:val="009D0C99"/>
    <w:rsid w:val="009D3121"/>
    <w:rsid w:val="009D3789"/>
    <w:rsid w:val="009D697B"/>
    <w:rsid w:val="009E284F"/>
    <w:rsid w:val="009E2EE9"/>
    <w:rsid w:val="009E6F42"/>
    <w:rsid w:val="009F59A2"/>
    <w:rsid w:val="009F60E8"/>
    <w:rsid w:val="00A026F9"/>
    <w:rsid w:val="00A039CA"/>
    <w:rsid w:val="00A043E1"/>
    <w:rsid w:val="00A04BF7"/>
    <w:rsid w:val="00A07064"/>
    <w:rsid w:val="00A125D9"/>
    <w:rsid w:val="00A13479"/>
    <w:rsid w:val="00A15FD3"/>
    <w:rsid w:val="00A20E80"/>
    <w:rsid w:val="00A22A8F"/>
    <w:rsid w:val="00A262A3"/>
    <w:rsid w:val="00A3162F"/>
    <w:rsid w:val="00A31EAE"/>
    <w:rsid w:val="00A32FF0"/>
    <w:rsid w:val="00A34F1C"/>
    <w:rsid w:val="00A41792"/>
    <w:rsid w:val="00A41B25"/>
    <w:rsid w:val="00A41F44"/>
    <w:rsid w:val="00A445A2"/>
    <w:rsid w:val="00A50A2D"/>
    <w:rsid w:val="00A54521"/>
    <w:rsid w:val="00A5668A"/>
    <w:rsid w:val="00A56BAE"/>
    <w:rsid w:val="00A57707"/>
    <w:rsid w:val="00A61A5B"/>
    <w:rsid w:val="00A66C57"/>
    <w:rsid w:val="00A7063F"/>
    <w:rsid w:val="00A71698"/>
    <w:rsid w:val="00A753BC"/>
    <w:rsid w:val="00A7554D"/>
    <w:rsid w:val="00A85269"/>
    <w:rsid w:val="00A854F8"/>
    <w:rsid w:val="00A86AE1"/>
    <w:rsid w:val="00A86CCE"/>
    <w:rsid w:val="00A923A2"/>
    <w:rsid w:val="00AA3EE3"/>
    <w:rsid w:val="00AA6ABF"/>
    <w:rsid w:val="00AA7A67"/>
    <w:rsid w:val="00AB1960"/>
    <w:rsid w:val="00AB4906"/>
    <w:rsid w:val="00AB61D9"/>
    <w:rsid w:val="00AB6D84"/>
    <w:rsid w:val="00AC2F97"/>
    <w:rsid w:val="00AC4289"/>
    <w:rsid w:val="00AC5147"/>
    <w:rsid w:val="00AC5D4F"/>
    <w:rsid w:val="00AC7443"/>
    <w:rsid w:val="00AD10AB"/>
    <w:rsid w:val="00AD1E35"/>
    <w:rsid w:val="00AD2F56"/>
    <w:rsid w:val="00AD42DE"/>
    <w:rsid w:val="00AD4576"/>
    <w:rsid w:val="00AD64B8"/>
    <w:rsid w:val="00AD74DE"/>
    <w:rsid w:val="00AE6B74"/>
    <w:rsid w:val="00AE6E00"/>
    <w:rsid w:val="00AE75A3"/>
    <w:rsid w:val="00AE790B"/>
    <w:rsid w:val="00AF2EA7"/>
    <w:rsid w:val="00AF3D98"/>
    <w:rsid w:val="00AF3EC9"/>
    <w:rsid w:val="00AF44F9"/>
    <w:rsid w:val="00AF50FD"/>
    <w:rsid w:val="00AF6549"/>
    <w:rsid w:val="00AF775D"/>
    <w:rsid w:val="00B03298"/>
    <w:rsid w:val="00B0472A"/>
    <w:rsid w:val="00B058D0"/>
    <w:rsid w:val="00B0593A"/>
    <w:rsid w:val="00B06BEA"/>
    <w:rsid w:val="00B14253"/>
    <w:rsid w:val="00B17B06"/>
    <w:rsid w:val="00B17CA9"/>
    <w:rsid w:val="00B31470"/>
    <w:rsid w:val="00B33C82"/>
    <w:rsid w:val="00B406F4"/>
    <w:rsid w:val="00B4111D"/>
    <w:rsid w:val="00B4387B"/>
    <w:rsid w:val="00B43FD6"/>
    <w:rsid w:val="00B47A5E"/>
    <w:rsid w:val="00B50641"/>
    <w:rsid w:val="00B51BBA"/>
    <w:rsid w:val="00B55A4B"/>
    <w:rsid w:val="00B55E58"/>
    <w:rsid w:val="00B57CCF"/>
    <w:rsid w:val="00B60776"/>
    <w:rsid w:val="00B60990"/>
    <w:rsid w:val="00B71EF0"/>
    <w:rsid w:val="00B71F69"/>
    <w:rsid w:val="00B7248D"/>
    <w:rsid w:val="00B7799D"/>
    <w:rsid w:val="00B77B62"/>
    <w:rsid w:val="00B81579"/>
    <w:rsid w:val="00B81EF2"/>
    <w:rsid w:val="00B8240F"/>
    <w:rsid w:val="00B82C78"/>
    <w:rsid w:val="00B84018"/>
    <w:rsid w:val="00B84036"/>
    <w:rsid w:val="00B841B4"/>
    <w:rsid w:val="00B9080F"/>
    <w:rsid w:val="00B91D37"/>
    <w:rsid w:val="00B93510"/>
    <w:rsid w:val="00BA0E30"/>
    <w:rsid w:val="00BA3737"/>
    <w:rsid w:val="00BA7664"/>
    <w:rsid w:val="00BB1D8E"/>
    <w:rsid w:val="00BB6240"/>
    <w:rsid w:val="00BC1144"/>
    <w:rsid w:val="00BC17B4"/>
    <w:rsid w:val="00BC25C6"/>
    <w:rsid w:val="00BD1575"/>
    <w:rsid w:val="00BD158D"/>
    <w:rsid w:val="00BD6C51"/>
    <w:rsid w:val="00BD790F"/>
    <w:rsid w:val="00BE43A7"/>
    <w:rsid w:val="00BE58A9"/>
    <w:rsid w:val="00BE71C5"/>
    <w:rsid w:val="00BF29E8"/>
    <w:rsid w:val="00BF2A4F"/>
    <w:rsid w:val="00BF370C"/>
    <w:rsid w:val="00BF7DC1"/>
    <w:rsid w:val="00C00991"/>
    <w:rsid w:val="00C00F99"/>
    <w:rsid w:val="00C067F9"/>
    <w:rsid w:val="00C06C46"/>
    <w:rsid w:val="00C1196B"/>
    <w:rsid w:val="00C1421A"/>
    <w:rsid w:val="00C1719B"/>
    <w:rsid w:val="00C21BE7"/>
    <w:rsid w:val="00C22A06"/>
    <w:rsid w:val="00C23FB5"/>
    <w:rsid w:val="00C26648"/>
    <w:rsid w:val="00C31D35"/>
    <w:rsid w:val="00C31F5A"/>
    <w:rsid w:val="00C324F9"/>
    <w:rsid w:val="00C34D07"/>
    <w:rsid w:val="00C36006"/>
    <w:rsid w:val="00C47EDD"/>
    <w:rsid w:val="00C53568"/>
    <w:rsid w:val="00C536A9"/>
    <w:rsid w:val="00C62940"/>
    <w:rsid w:val="00C75744"/>
    <w:rsid w:val="00C83689"/>
    <w:rsid w:val="00C85EF3"/>
    <w:rsid w:val="00C872D8"/>
    <w:rsid w:val="00C91101"/>
    <w:rsid w:val="00C929D7"/>
    <w:rsid w:val="00C96290"/>
    <w:rsid w:val="00C96C02"/>
    <w:rsid w:val="00CA1955"/>
    <w:rsid w:val="00CA48CD"/>
    <w:rsid w:val="00CB436C"/>
    <w:rsid w:val="00CC131A"/>
    <w:rsid w:val="00CC2BC8"/>
    <w:rsid w:val="00CC3257"/>
    <w:rsid w:val="00CC54B5"/>
    <w:rsid w:val="00CC62E6"/>
    <w:rsid w:val="00CC657A"/>
    <w:rsid w:val="00CC747B"/>
    <w:rsid w:val="00CD1477"/>
    <w:rsid w:val="00CE15CB"/>
    <w:rsid w:val="00CE4594"/>
    <w:rsid w:val="00CE54C8"/>
    <w:rsid w:val="00CE633B"/>
    <w:rsid w:val="00CE7AA7"/>
    <w:rsid w:val="00CF058B"/>
    <w:rsid w:val="00CF06C1"/>
    <w:rsid w:val="00CF6A63"/>
    <w:rsid w:val="00CF6D9B"/>
    <w:rsid w:val="00D02225"/>
    <w:rsid w:val="00D03BB9"/>
    <w:rsid w:val="00D075E9"/>
    <w:rsid w:val="00D07D7E"/>
    <w:rsid w:val="00D168F4"/>
    <w:rsid w:val="00D17F33"/>
    <w:rsid w:val="00D205E3"/>
    <w:rsid w:val="00D25B3B"/>
    <w:rsid w:val="00D26ED9"/>
    <w:rsid w:val="00D277E7"/>
    <w:rsid w:val="00D32785"/>
    <w:rsid w:val="00D34A31"/>
    <w:rsid w:val="00D3769C"/>
    <w:rsid w:val="00D411DA"/>
    <w:rsid w:val="00D452B4"/>
    <w:rsid w:val="00D512F8"/>
    <w:rsid w:val="00D53311"/>
    <w:rsid w:val="00D546EB"/>
    <w:rsid w:val="00D57264"/>
    <w:rsid w:val="00D61B08"/>
    <w:rsid w:val="00D63EC2"/>
    <w:rsid w:val="00D63F4C"/>
    <w:rsid w:val="00D64BBC"/>
    <w:rsid w:val="00D658AF"/>
    <w:rsid w:val="00D71D35"/>
    <w:rsid w:val="00D764FC"/>
    <w:rsid w:val="00D7740D"/>
    <w:rsid w:val="00D77E5C"/>
    <w:rsid w:val="00D83174"/>
    <w:rsid w:val="00D85012"/>
    <w:rsid w:val="00D867CA"/>
    <w:rsid w:val="00D86938"/>
    <w:rsid w:val="00D91A1A"/>
    <w:rsid w:val="00D94327"/>
    <w:rsid w:val="00D94B33"/>
    <w:rsid w:val="00D95B36"/>
    <w:rsid w:val="00DA1CC4"/>
    <w:rsid w:val="00DA419D"/>
    <w:rsid w:val="00DA5A09"/>
    <w:rsid w:val="00DA60F3"/>
    <w:rsid w:val="00DB6A5A"/>
    <w:rsid w:val="00DB7FCA"/>
    <w:rsid w:val="00DC2E92"/>
    <w:rsid w:val="00DC4C88"/>
    <w:rsid w:val="00DC7257"/>
    <w:rsid w:val="00DD01C7"/>
    <w:rsid w:val="00DD4A05"/>
    <w:rsid w:val="00DD50A5"/>
    <w:rsid w:val="00DD7FF8"/>
    <w:rsid w:val="00DE1990"/>
    <w:rsid w:val="00DE42B2"/>
    <w:rsid w:val="00DE468B"/>
    <w:rsid w:val="00DE549C"/>
    <w:rsid w:val="00E0241A"/>
    <w:rsid w:val="00E03E2C"/>
    <w:rsid w:val="00E03EB9"/>
    <w:rsid w:val="00E043D0"/>
    <w:rsid w:val="00E06F2E"/>
    <w:rsid w:val="00E07409"/>
    <w:rsid w:val="00E07458"/>
    <w:rsid w:val="00E07709"/>
    <w:rsid w:val="00E11B3F"/>
    <w:rsid w:val="00E14ED7"/>
    <w:rsid w:val="00E15DC9"/>
    <w:rsid w:val="00E23B43"/>
    <w:rsid w:val="00E268E4"/>
    <w:rsid w:val="00E27357"/>
    <w:rsid w:val="00E34939"/>
    <w:rsid w:val="00E36127"/>
    <w:rsid w:val="00E374D4"/>
    <w:rsid w:val="00E42663"/>
    <w:rsid w:val="00E4362E"/>
    <w:rsid w:val="00E4395A"/>
    <w:rsid w:val="00E44BDE"/>
    <w:rsid w:val="00E47746"/>
    <w:rsid w:val="00E51A6E"/>
    <w:rsid w:val="00E54549"/>
    <w:rsid w:val="00E657D8"/>
    <w:rsid w:val="00E66400"/>
    <w:rsid w:val="00E67A36"/>
    <w:rsid w:val="00E7134D"/>
    <w:rsid w:val="00E72790"/>
    <w:rsid w:val="00E7443A"/>
    <w:rsid w:val="00E8052D"/>
    <w:rsid w:val="00E807E3"/>
    <w:rsid w:val="00EA07F0"/>
    <w:rsid w:val="00EA12C6"/>
    <w:rsid w:val="00EA34C9"/>
    <w:rsid w:val="00EA540D"/>
    <w:rsid w:val="00EA6FD8"/>
    <w:rsid w:val="00EB0061"/>
    <w:rsid w:val="00EB1A45"/>
    <w:rsid w:val="00EB2470"/>
    <w:rsid w:val="00EB5B56"/>
    <w:rsid w:val="00EB6DD6"/>
    <w:rsid w:val="00ED1636"/>
    <w:rsid w:val="00ED2F03"/>
    <w:rsid w:val="00ED5C71"/>
    <w:rsid w:val="00EE1DCF"/>
    <w:rsid w:val="00EE42B5"/>
    <w:rsid w:val="00EE7DFB"/>
    <w:rsid w:val="00EF0181"/>
    <w:rsid w:val="00EF5491"/>
    <w:rsid w:val="00EF57F1"/>
    <w:rsid w:val="00F020E7"/>
    <w:rsid w:val="00F032B7"/>
    <w:rsid w:val="00F11495"/>
    <w:rsid w:val="00F1170D"/>
    <w:rsid w:val="00F12C82"/>
    <w:rsid w:val="00F13161"/>
    <w:rsid w:val="00F14692"/>
    <w:rsid w:val="00F15DD0"/>
    <w:rsid w:val="00F334A6"/>
    <w:rsid w:val="00F336DE"/>
    <w:rsid w:val="00F35406"/>
    <w:rsid w:val="00F45894"/>
    <w:rsid w:val="00F4694D"/>
    <w:rsid w:val="00F54DCD"/>
    <w:rsid w:val="00F54E5D"/>
    <w:rsid w:val="00F551C7"/>
    <w:rsid w:val="00F55E80"/>
    <w:rsid w:val="00F56DCE"/>
    <w:rsid w:val="00F56EC8"/>
    <w:rsid w:val="00F650AF"/>
    <w:rsid w:val="00F713E2"/>
    <w:rsid w:val="00F721E3"/>
    <w:rsid w:val="00F72368"/>
    <w:rsid w:val="00F7334D"/>
    <w:rsid w:val="00F8146F"/>
    <w:rsid w:val="00F829AF"/>
    <w:rsid w:val="00F829E0"/>
    <w:rsid w:val="00F85D7A"/>
    <w:rsid w:val="00F872FB"/>
    <w:rsid w:val="00F910D7"/>
    <w:rsid w:val="00F95502"/>
    <w:rsid w:val="00F97080"/>
    <w:rsid w:val="00FA4636"/>
    <w:rsid w:val="00FA509C"/>
    <w:rsid w:val="00FA5562"/>
    <w:rsid w:val="00FB04F3"/>
    <w:rsid w:val="00FB11DD"/>
    <w:rsid w:val="00FB2412"/>
    <w:rsid w:val="00FC765E"/>
    <w:rsid w:val="00FD0D00"/>
    <w:rsid w:val="00FD0DD7"/>
    <w:rsid w:val="00FD4125"/>
    <w:rsid w:val="00FD4845"/>
    <w:rsid w:val="00FD68E6"/>
    <w:rsid w:val="00FD6CC0"/>
    <w:rsid w:val="00FE1F41"/>
    <w:rsid w:val="00FE23FF"/>
    <w:rsid w:val="00FE287F"/>
    <w:rsid w:val="00FE4355"/>
    <w:rsid w:val="00FE5E89"/>
    <w:rsid w:val="00FF134D"/>
    <w:rsid w:val="00FF2A7C"/>
    <w:rsid w:val="00FF2C28"/>
    <w:rsid w:val="00FF4463"/>
    <w:rsid w:val="00FF5A3F"/>
    <w:rsid w:val="089E0BC5"/>
    <w:rsid w:val="36002349"/>
    <w:rsid w:val="50CD2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等线" w:hAnsi="等线" w:eastAsia="宋体" w:cs="Times New Roman"/>
      <w:kern w:val="2"/>
      <w:sz w:val="21"/>
      <w:szCs w:val="21"/>
      <w:lang w:val="en-US" w:eastAsia="zh-CN" w:bidi="ar-SA"/>
    </w:rPr>
  </w:style>
  <w:style w:type="paragraph" w:styleId="2">
    <w:name w:val="heading 1"/>
    <w:basedOn w:val="1"/>
    <w:next w:val="1"/>
    <w:link w:val="20"/>
    <w:qFormat/>
    <w:uiPriority w:val="9"/>
    <w:pPr>
      <w:spacing w:before="340" w:after="330" w:line="578" w:lineRule="auto"/>
      <w:jc w:val="center"/>
      <w:outlineLvl w:val="0"/>
    </w:pPr>
    <w:rPr>
      <w:b/>
      <w:bCs/>
      <w:kern w:val="44"/>
      <w:sz w:val="32"/>
      <w:szCs w:val="44"/>
    </w:rPr>
  </w:style>
  <w:style w:type="paragraph" w:styleId="3">
    <w:name w:val="heading 2"/>
    <w:basedOn w:val="1"/>
    <w:next w:val="1"/>
    <w:link w:val="17"/>
    <w:unhideWhenUsed/>
    <w:qFormat/>
    <w:uiPriority w:val="9"/>
    <w:pPr>
      <w:spacing w:before="260" w:after="260" w:line="415" w:lineRule="auto"/>
      <w:outlineLvl w:val="1"/>
    </w:pPr>
    <w:rPr>
      <w:rFonts w:asciiTheme="majorHAnsi" w:hAnsiTheme="majorHAnsi" w:cstheme="majorBidi"/>
      <w:b/>
      <w:bCs/>
      <w:sz w:val="24"/>
      <w:szCs w:val="32"/>
    </w:rPr>
  </w:style>
  <w:style w:type="paragraph" w:styleId="4">
    <w:name w:val="heading 3"/>
    <w:basedOn w:val="1"/>
    <w:next w:val="1"/>
    <w:link w:val="19"/>
    <w:unhideWhenUsed/>
    <w:qFormat/>
    <w:uiPriority w:val="9"/>
    <w:pPr>
      <w:spacing w:before="260" w:after="260" w:line="415" w:lineRule="auto"/>
      <w:outlineLvl w:val="2"/>
    </w:pPr>
    <w:rPr>
      <w:b/>
      <w:bCs/>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0">
    <w:name w:val="toc 2"/>
    <w:basedOn w:val="1"/>
    <w:next w:val="1"/>
    <w:unhideWhenUsed/>
    <w:qFormat/>
    <w:uiPriority w:val="39"/>
    <w:pPr>
      <w:ind w:left="420" w:leftChars="200"/>
    </w:pPr>
  </w:style>
  <w:style w:type="table" w:styleId="12">
    <w:name w:val="Table Grid"/>
    <w:basedOn w:val="11"/>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标题 2 字符"/>
    <w:basedOn w:val="13"/>
    <w:link w:val="3"/>
    <w:qFormat/>
    <w:uiPriority w:val="9"/>
    <w:rPr>
      <w:rFonts w:eastAsia="宋体" w:asciiTheme="majorHAnsi" w:hAnsiTheme="majorHAnsi" w:cstheme="majorBidi"/>
      <w:b/>
      <w:bCs/>
      <w:kern w:val="2"/>
      <w:sz w:val="24"/>
      <w:szCs w:val="32"/>
    </w:rPr>
  </w:style>
  <w:style w:type="paragraph" w:customStyle="1" w:styleId="18">
    <w:name w:val="列出段落1"/>
    <w:basedOn w:val="1"/>
    <w:qFormat/>
    <w:uiPriority w:val="0"/>
    <w:pPr>
      <w:ind w:firstLine="420" w:firstLineChars="200"/>
    </w:pPr>
    <w:rPr>
      <w:rFonts w:ascii="Calibri" w:hAnsi="Calibri" w:cs="宋体"/>
    </w:rPr>
  </w:style>
  <w:style w:type="character" w:customStyle="1" w:styleId="19">
    <w:name w:val="标题 3 字符"/>
    <w:basedOn w:val="13"/>
    <w:link w:val="4"/>
    <w:qFormat/>
    <w:uiPriority w:val="9"/>
    <w:rPr>
      <w:rFonts w:ascii="等线" w:hAnsi="等线" w:eastAsia="宋体" w:cs="Times New Roman"/>
      <w:b/>
      <w:bCs/>
      <w:kern w:val="2"/>
      <w:sz w:val="21"/>
      <w:szCs w:val="32"/>
    </w:rPr>
  </w:style>
  <w:style w:type="character" w:customStyle="1" w:styleId="20">
    <w:name w:val="标题 1 字符"/>
    <w:basedOn w:val="13"/>
    <w:link w:val="2"/>
    <w:qFormat/>
    <w:uiPriority w:val="9"/>
    <w:rPr>
      <w:rFonts w:ascii="等线" w:hAnsi="等线" w:eastAsia="宋体" w:cs="Times New Roman"/>
      <w:b/>
      <w:bCs/>
      <w:kern w:val="44"/>
      <w:sz w:val="32"/>
      <w:szCs w:val="44"/>
    </w:rPr>
  </w:style>
  <w:style w:type="paragraph" w:customStyle="1" w:styleId="2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22">
    <w:name w:val="页眉 字符"/>
    <w:basedOn w:val="13"/>
    <w:link w:val="8"/>
    <w:qFormat/>
    <w:uiPriority w:val="99"/>
    <w:rPr>
      <w:rFonts w:ascii="等线" w:hAnsi="等线" w:eastAsia="等线" w:cs="Times New Roman"/>
      <w:sz w:val="18"/>
      <w:szCs w:val="18"/>
    </w:rPr>
  </w:style>
  <w:style w:type="character" w:customStyle="1" w:styleId="23">
    <w:name w:val="页脚 字符"/>
    <w:basedOn w:val="13"/>
    <w:link w:val="7"/>
    <w:qFormat/>
    <w:uiPriority w:val="99"/>
    <w:rPr>
      <w:rFonts w:ascii="等线" w:hAnsi="等线" w:eastAsia="等线" w:cs="Times New Roman"/>
      <w:sz w:val="18"/>
      <w:szCs w:val="18"/>
    </w:rPr>
  </w:style>
  <w:style w:type="character" w:customStyle="1" w:styleId="24">
    <w:name w:val="s4"/>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7842F-CB23-44BB-B49F-3663C5183A1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7291</Words>
  <Characters>7639</Characters>
  <Lines>57</Lines>
  <Paragraphs>16</Paragraphs>
  <TotalTime>0</TotalTime>
  <ScaleCrop>false</ScaleCrop>
  <LinksUpToDate>false</LinksUpToDate>
  <CharactersWithSpaces>7744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2022-09-27T07:59:00Z</dcterms:created>
  <dc:creator>微软用户</dc:creator>
  <cp:lastModifiedBy>WEWE</cp:lastModifiedBy>
  <cp:lastPrinted>2022-09-27T08:04:00Z</cp:lastPrinted>
  <dcterms:modified xsi:type="dcterms:W3CDTF">2026-01-07T02:13:59Z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BF07460524DA4CD6BCFA1DC5E18E1166</vt:lpwstr>
  </property>
  <property fmtid="{D5CDD505-2E9C-101B-9397-08002B2CF9AE}" pid="4" name="KSOTemplateDocerSaveRecord">
    <vt:lpwstr>eyJoZGlkIjoiNTMwNWY0ODQ3MjhmMGExNGQ1N2YyMjI1YjMwZDViMjkiLCJ1c2VySWQiOiIyNDIzNzUyNjYifQ==</vt:lpwstr>
  </property>
</Properties>
</file>