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B164A">
      <w:pPr>
        <w:spacing w:after="120"/>
        <w:jc w:val="center"/>
      </w:pPr>
      <w:bookmarkStart w:id="0" w:name="_GoBack"/>
      <w:bookmarkEnd w:id="0"/>
      <w:r>
        <w:rPr>
          <w:rFonts w:ascii="黑体" w:hAnsi="黑体" w:eastAsia="黑体" w:cs="黑体"/>
          <w:b/>
          <w:bCs/>
          <w:sz w:val="40"/>
          <w:szCs w:val="40"/>
        </w:rPr>
        <w:t>华南师范大学2026年度创新创业</w:t>
      </w:r>
    </w:p>
    <w:p w14:paraId="4564622C">
      <w:pPr>
        <w:spacing w:after="80"/>
        <w:jc w:val="center"/>
      </w:pPr>
      <w:r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  <w:t>“揭榜挂帅”</w:t>
      </w:r>
      <w:r>
        <w:rPr>
          <w:rFonts w:ascii="黑体" w:hAnsi="黑体" w:eastAsia="黑体" w:cs="黑体"/>
          <w:b/>
          <w:bCs/>
          <w:sz w:val="40"/>
          <w:szCs w:val="40"/>
        </w:rPr>
        <w:t>活动（双百行动专项）命题榜单</w:t>
      </w:r>
    </w:p>
    <w:p w14:paraId="0180C8C7">
      <w:pPr>
        <w:spacing w:after="360"/>
        <w:jc w:val="center"/>
      </w:pPr>
      <w:r>
        <w:rPr>
          <w:rFonts w:ascii="宋体" w:hAnsi="宋体" w:eastAsia="宋体" w:cs="宋体"/>
          <w:sz w:val="28"/>
          <w:szCs w:val="28"/>
        </w:rPr>
        <w:t>（附件1）</w:t>
      </w:r>
    </w:p>
    <w:p w14:paraId="11D58856">
      <w:pPr>
        <w:spacing w:before="240" w:after="180"/>
        <w:jc w:val="left"/>
      </w:pPr>
      <w:r>
        <w:rPr>
          <w:rFonts w:ascii="黑体" w:hAnsi="黑体" w:eastAsia="黑体" w:cs="黑体"/>
          <w:b/>
          <w:bCs/>
          <w:sz w:val="30"/>
          <w:szCs w:val="30"/>
        </w:rPr>
        <w:t>命题一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 xml:space="preserve">  </w:t>
      </w:r>
      <w:r>
        <w:rPr>
          <w:rFonts w:ascii="黑体" w:hAnsi="黑体" w:eastAsia="黑体" w:cs="黑体"/>
          <w:b/>
          <w:bCs/>
          <w:sz w:val="30"/>
          <w:szCs w:val="30"/>
        </w:rPr>
        <w:t>封开县中小学研学路线设计与在地课程</w:t>
      </w:r>
    </w:p>
    <w:tbl>
      <w:tblPr>
        <w:tblStyle w:val="13"/>
        <w:tblW w:w="9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6800"/>
      </w:tblGrid>
      <w:tr w14:paraId="48995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6EEC18A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命题名称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ACC111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封开县中小学研学路线设计与在地课程</w:t>
            </w:r>
          </w:p>
        </w:tc>
      </w:tr>
      <w:tr w14:paraId="461CE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2C29BBB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命题单位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233DDC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封开县粤桂五乡人青创空间/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“双百行动”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高校驻封开县服务队</w:t>
            </w:r>
          </w:p>
        </w:tc>
      </w:tr>
      <w:tr w14:paraId="50AE4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1A7560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联系人/电话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1D58EC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储昭群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18755697171</w:t>
            </w:r>
          </w:p>
        </w:tc>
      </w:tr>
      <w:tr w14:paraId="00E67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A95F429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命题背景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02F1CC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1.封开县拥有丰富的自然与人文资源，亟需开发特色研学产品；</w:t>
            </w:r>
          </w:p>
          <w:p w14:paraId="2293EDB0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2.当前研学市场同质化严重，需结合在地文化打造差异化课程体系；</w:t>
            </w:r>
          </w:p>
          <w:p w14:paraId="3F4CC711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3.结合本土资源开发沉浸式体验课程，增强学生实践感知与文化自信，提升研学活动的教育价值与传播效果。</w:t>
            </w:r>
          </w:p>
        </w:tc>
      </w:tr>
      <w:tr w14:paraId="6A48C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56A5B72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命题内容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E2FF60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1.设计课程需兼顾知识性与趣味性，贴近学生认知水平，同时融入地方非遗元素以增强文化传承与认同感。</w:t>
            </w:r>
          </w:p>
          <w:p w14:paraId="6BA1977A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2.设计研学路线需覆盖封开县核心资源点、串联贺江沿线自然与人文景观、合理规划行程时间与交通安排，确保各环节衔接顺畅、安全可控，并配套设计互动体验活动与任务手册，提升学生参与度与研学体验感。</w:t>
            </w:r>
          </w:p>
          <w:p w14:paraId="2867A0C2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3.课程需配套评估机制，量化学生研学成果，确保教学质量与学习效果，并配套制定师资培训方案与教学实施指南。</w:t>
            </w:r>
          </w:p>
          <w:p w14:paraId="57F07318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4.设计路线需结合学生年龄特点分层设置难度，满足不同学段学生的认知需求；结合贺江生态资源设计自然观察与环保实践课程、非遗手工体验课程，提升学生动手实践能力。</w:t>
            </w:r>
          </w:p>
          <w:p w14:paraId="643C7121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5.课程设计可包含贺江沿线历史文化探访与民俗体验课程。</w:t>
            </w:r>
          </w:p>
        </w:tc>
      </w:tr>
      <w:tr w14:paraId="76F78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BDE8FB3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期望答题要求
（评选标准）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5CAC35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1.需从课程设计的专业性、在地资源的融合度、体验环节的可操作性等维度综合考量。</w:t>
            </w:r>
          </w:p>
          <w:p w14:paraId="0529AF94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2.课程方案应深度挖掘封开广信文化、黄岩洞遗址等本土资源，非遗体验模块需明确具体技艺类型、操作流程及适配学段。</w:t>
            </w:r>
          </w:p>
          <w:p w14:paraId="438B6FB1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3.方案要注重教育目标的达成度，设置合理的知识输出与能力培养指标，兼顾安全性与落地可行性，确保方案具备实际应用价值，能有效服务于封开县研学教育提质升级。</w:t>
            </w:r>
          </w:p>
        </w:tc>
      </w:tr>
      <w:tr w14:paraId="3323F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6E302B3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保障措施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7EFD5F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提供调研协调、场地支持。</w:t>
            </w:r>
          </w:p>
        </w:tc>
      </w:tr>
      <w:tr w14:paraId="33F7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AA95015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激励措施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47F463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1.立项团队按校级创新创业项目管理，获校级专项立项经费资助（分两期拨付）；顺利结题团队授予华南师范大学创新创业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“揭榜挂帅”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优秀成果一/二/三等奖。</w:t>
            </w:r>
          </w:p>
          <w:p w14:paraId="023DBD1C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2.命题单位可根据项目实施成效自主配套追加专项扶持资金，同步深化合作任务、延长项目实施周期；表现突出的团队，经评审可推荐申报更高层级专项经费持续扶持。</w:t>
            </w:r>
          </w:p>
        </w:tc>
      </w:tr>
    </w:tbl>
    <w:p w14:paraId="5C61CCC7">
      <w:pPr>
        <w:spacing w:after="200"/>
      </w:pPr>
    </w:p>
    <w:p w14:paraId="7A3479A8">
      <w:pPr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ascii="黑体" w:hAnsi="黑体" w:eastAsia="黑体" w:cs="黑体"/>
          <w:b/>
          <w:bCs/>
          <w:sz w:val="30"/>
          <w:szCs w:val="30"/>
        </w:rPr>
        <w:br w:type="page"/>
      </w:r>
    </w:p>
    <w:p w14:paraId="0B535CBE">
      <w:pPr>
        <w:spacing w:before="240" w:after="180"/>
        <w:jc w:val="left"/>
      </w:pPr>
      <w:r>
        <w:rPr>
          <w:rFonts w:ascii="黑体" w:hAnsi="黑体" w:eastAsia="黑体" w:cs="黑体"/>
          <w:b/>
          <w:bCs/>
          <w:sz w:val="30"/>
          <w:szCs w:val="30"/>
        </w:rPr>
        <w:t>命题二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 xml:space="preserve">  </w:t>
      </w:r>
      <w:r>
        <w:rPr>
          <w:rFonts w:ascii="黑体" w:hAnsi="黑体" w:eastAsia="黑体" w:cs="黑体"/>
          <w:b/>
          <w:bCs/>
          <w:sz w:val="30"/>
          <w:szCs w:val="30"/>
        </w:rPr>
        <w:t>银发经济——封开县老年康养系统开发打造方向（含疗休养）</w:t>
      </w:r>
    </w:p>
    <w:tbl>
      <w:tblPr>
        <w:tblStyle w:val="13"/>
        <w:tblW w:w="9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6800"/>
      </w:tblGrid>
      <w:tr w14:paraId="2DA99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3C52FEE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命题名称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B6EEA3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银发经济——封开县老年康养系统开发打造方向（含疗休养）</w:t>
            </w:r>
          </w:p>
        </w:tc>
      </w:tr>
      <w:tr w14:paraId="3F54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DDA3974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命题单位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DDE745A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封开县粤桂五乡人青创空间/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“双百行动”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高校驻封开县服务队</w:t>
            </w:r>
          </w:p>
        </w:tc>
      </w:tr>
      <w:tr w14:paraId="1325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811E4F7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联系人/电话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FAB77CE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储昭群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18755697171</w:t>
            </w:r>
          </w:p>
        </w:tc>
      </w:tr>
      <w:tr w14:paraId="1F832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87B3547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命题背景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299175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1.大湾区存在大量的银发群体；</w:t>
            </w:r>
          </w:p>
          <w:p w14:paraId="6679CCAA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2.银发群体既有钱又有闲，需要优质消费承接场景；</w:t>
            </w:r>
          </w:p>
          <w:p w14:paraId="58545F2A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3.封开生态环境优越，具备发展康养产业的自然禀赋；</w:t>
            </w:r>
          </w:p>
          <w:p w14:paraId="24240730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4.本地康养服务供给尚不完善，亟需引入创新模式。</w:t>
            </w:r>
          </w:p>
        </w:tc>
      </w:tr>
      <w:tr w14:paraId="78F07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AE5EC1D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命题内容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59FD5F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1.引入专业康养运营团队，打造特色康养服务产品（如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“一方小院”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，为老年人提供田园生活和老年栖息地）。</w:t>
            </w:r>
          </w:p>
          <w:p w14:paraId="2BF3E6F2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2.结合本地资源设计适老化旅居康养路线，满足不同消费层级的老年群体需求。</w:t>
            </w:r>
          </w:p>
          <w:p w14:paraId="65C84978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3.开发智慧康养服务平台，实现线上线下服务一体化与数据化管理。</w:t>
            </w:r>
          </w:p>
        </w:tc>
      </w:tr>
      <w:tr w14:paraId="7235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DB5B987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期望答题要求
（评选标准）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DCCF28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1.完整的商业计划书须具备可落地的财务测算与盈利模式分析。</w:t>
            </w:r>
          </w:p>
          <w:p w14:paraId="0E676473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2.方案需体现对本地资源的深度整合与在地文化的创新性融合。</w:t>
            </w:r>
          </w:p>
          <w:p w14:paraId="793B4161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3.需提供清晰的运营实施方案与风险应对策略。</w:t>
            </w:r>
          </w:p>
          <w:p w14:paraId="6BDE819C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4.项目团队需具备相关行业经验与落地执行能力。</w:t>
            </w:r>
          </w:p>
          <w:p w14:paraId="20FBC2D2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5.需建立长期可持续的社区共建与利益联结机制。</w:t>
            </w:r>
          </w:p>
          <w:p w14:paraId="464E9E4A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6.方案需体现五乡人主理人参与模式设计与贺江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“几字湾”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生态资源的结合路径。</w:t>
            </w:r>
          </w:p>
        </w:tc>
      </w:tr>
      <w:tr w14:paraId="6E102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1C3DB13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保障措施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44B497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提供调研协调、场地支持。</w:t>
            </w:r>
          </w:p>
        </w:tc>
      </w:tr>
      <w:tr w14:paraId="111B9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6AD138B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激励措施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A107DD0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1.立项团队按校级创新创业项目管理，获校级专项立项经费资助（分两期拨付）；顺利结题团队授予华南师范大学创新创业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“揭榜挂帅”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优秀成果一/二/三等奖。</w:t>
            </w:r>
          </w:p>
          <w:p w14:paraId="7686E6A6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2.命题单位可根据项目实施成效自主配套追加专项扶持资金，同步深化合作任务、延长项目实施周期；表现突出的团队，经评审可推荐申报更高层级专项经费持续扶持。</w:t>
            </w:r>
          </w:p>
        </w:tc>
      </w:tr>
    </w:tbl>
    <w:p w14:paraId="55659ADA">
      <w:pPr>
        <w:spacing w:after="200"/>
      </w:pPr>
    </w:p>
    <w:p w14:paraId="72EE846E">
      <w:pPr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ascii="黑体" w:hAnsi="黑体" w:eastAsia="黑体" w:cs="黑体"/>
          <w:b/>
          <w:bCs/>
          <w:sz w:val="30"/>
          <w:szCs w:val="30"/>
        </w:rPr>
        <w:br w:type="page"/>
      </w:r>
    </w:p>
    <w:p w14:paraId="1AEF7B63">
      <w:pPr>
        <w:spacing w:before="240" w:after="180"/>
        <w:jc w:val="left"/>
      </w:pPr>
      <w:r>
        <w:rPr>
          <w:rFonts w:ascii="黑体" w:hAnsi="黑体" w:eastAsia="黑体" w:cs="黑体"/>
          <w:b/>
          <w:bCs/>
          <w:sz w:val="30"/>
          <w:szCs w:val="30"/>
        </w:rPr>
        <w:t>命题三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 xml:space="preserve">  “国企好水，焕新出发”</w:t>
      </w:r>
      <w:r>
        <w:rPr>
          <w:rFonts w:ascii="黑体" w:hAnsi="黑体" w:eastAsia="黑体" w:cs="黑体"/>
          <w:b/>
          <w:bCs/>
          <w:sz w:val="30"/>
          <w:szCs w:val="30"/>
        </w:rPr>
        <w:t>——云雾硅泉品牌营销策划方案</w:t>
      </w:r>
    </w:p>
    <w:tbl>
      <w:tblPr>
        <w:tblStyle w:val="13"/>
        <w:tblW w:w="9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6800"/>
      </w:tblGrid>
      <w:tr w14:paraId="15EA3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CDE3FAD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命题名称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A32B93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“国企好水，焕新出发”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——云雾硅泉品牌营销策划方案</w:t>
            </w:r>
          </w:p>
        </w:tc>
      </w:tr>
      <w:tr w14:paraId="1D2CE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A5F401E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命题单位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BC1BBB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信宜市大仁山矿泉水有限公司思贺分公司</w:t>
            </w:r>
          </w:p>
        </w:tc>
      </w:tr>
      <w:tr w14:paraId="0B6D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CF6F7EC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联系人/电话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C73504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许家志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13715338557</w:t>
            </w:r>
          </w:p>
        </w:tc>
      </w:tr>
      <w:tr w14:paraId="64CC1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1E55120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命题背景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97C140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1.信宜市大仁山矿泉水有限公司思贺分公司，厂区占地15亩，总投资3000余万元。水源取自广东林洲顶（鳄蜥）省级自然保护区，原生生态洁净优质。公司生产的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“云雾硅泉”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天然泉水富含偏硅酸，含有硒、钙、锌、锶、钠、镁、钾等多种均衡微量元素，产品品类齐全（桶装5L/15L/18.9L，瓶装380ml/580ml），可满足居家、办公、日常出行等多样饮水需求。</w:t>
            </w:r>
          </w:p>
          <w:p w14:paraId="4BDA15C3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2.当前，中国包装饮用水市场已进入存量竞争时代，头部品牌占据主要市场份额。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“云雾硅泉”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作为拥有优质天然水源和国企信誉背书的信宜本土知名品牌，虽然在水质安全和历史积淀上具备显著优势，但在面对瞬息万变的新零售环境时，仍面临品牌认知固化、高端形象不突出、新媒体声量较弱等挑战。</w:t>
            </w:r>
          </w:p>
          <w:p w14:paraId="00336D99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3.如何在保持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“安全、健康”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核心基因的基础上，通过营销创新打破刻板印象，构建符合新时代消费者审美与价值观的品牌形象？如何通过全渠道布局（线上宣传+线下推广）面向大湾区实现销量的实质性增长？这是本命题希望解决的核心商业课题。</w:t>
            </w:r>
          </w:p>
        </w:tc>
      </w:tr>
      <w:tr w14:paraId="6E42C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B969A4E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命题内容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81E7CF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参赛团队需基于对包装饮用水市场的深入调研，围绕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“云雾硅泉”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品牌，设计一套完整的全市场品牌营销策划方案。方案应包含但不限于以下内容：</w:t>
            </w:r>
          </w:p>
          <w:p w14:paraId="0CE2680D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1.市场洞察与竞品分析：深入分析当前饮用水市场的竞争格局，明确主要竞争对手的优劣势，寻找云雾硅泉的市场机会点或差异化定位。</w:t>
            </w:r>
          </w:p>
          <w:p w14:paraId="45EB4D04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2.品牌焕新与视觉表达：围绕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“国企好水、天然优质”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核心资产，提出品牌定位升级、视觉识别（VI）焕新及产品包装设计的优化建议。</w:t>
            </w:r>
          </w:p>
          <w:p w14:paraId="5638B27A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3.整合营销传播策略：制定线上线下联动的推广计划，明确核心传播主题、内容矩阵与投放节奏，兼顾品牌调性与销售转化。</w:t>
            </w:r>
          </w:p>
          <w:p w14:paraId="32EA9D02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4.数字化营销与新媒体运营：结合抖音、小红书、视频号等主流平台，策划可执行的内容运营方案与达人合作路径，提升品牌年轻化声量。</w:t>
            </w:r>
          </w:p>
          <w:p w14:paraId="05AE49DB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5.渠道拓展与终端赋能：针对大湾区市场，提出电商渠道、社区团购、餐饮/办公渠道及线下终端陈列的组合打法与落地建议。</w:t>
            </w:r>
          </w:p>
          <w:p w14:paraId="31E903E7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6.活动策划与效果评估：策划1—2个可落地的品牌营销事件或推广活动，并建立可量化的效果评估指标体系。</w:t>
            </w:r>
          </w:p>
        </w:tc>
      </w:tr>
      <w:tr w14:paraId="2AC9D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5728F0E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期望答题要求
（评选标准）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40CCCA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1.创新性（30%）：品牌营销策略是否具有新意？能否跳出传统饮用水叫卖式的宣传套路？是否有独特的切入点？</w:t>
            </w:r>
          </w:p>
          <w:p w14:paraId="20535411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2.可行性（30%）：方案是否落地？是否符合企业的实际资源状况？预算是否合理？</w:t>
            </w:r>
          </w:p>
          <w:p w14:paraId="54564CF2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3.逻辑性（20%）：市场分析是否透彻？推导过程是否严密？策略是否直接回应了背景中提出的痛点？</w:t>
            </w:r>
          </w:p>
          <w:p w14:paraId="30DE2337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4.完整性（10%）：方案结构是否完整？是否涵盖了产品、价格、渠道、促销等关键要素？</w:t>
            </w:r>
          </w:p>
          <w:p w14:paraId="3677F1E2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5.表现力（10%）：现场路演是否精彩？PPT制作是否精良？团队答辩是否清晰流畅？</w:t>
            </w:r>
          </w:p>
        </w:tc>
      </w:tr>
      <w:tr w14:paraId="7FE11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EF4D5D2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保障措施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820F2F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命题单位提供市场数据、调研场地及必要的产品与信息支持。</w:t>
            </w:r>
          </w:p>
        </w:tc>
      </w:tr>
      <w:tr w14:paraId="51E2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B3EBBD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激励措施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7E7CA03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1.立项团队按校级创新创业项目管理，获校级专项立项经费资助（分两期拨付）；顺利结题团队授予华南师范大学创新创业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“揭榜挂帅”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优秀成果一/二/三等奖。</w:t>
            </w:r>
          </w:p>
          <w:p w14:paraId="6BDC8671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2.命题单位向立项团队提供实习机会及荣誉证书，并自主配套专项奖金及保障资金合计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万元；后续可结合项目实施成效追加扶持、深化合作。</w:t>
            </w:r>
          </w:p>
        </w:tc>
      </w:tr>
    </w:tbl>
    <w:p w14:paraId="368F1D02">
      <w:pPr>
        <w:spacing w:after="200"/>
      </w:pPr>
    </w:p>
    <w:p w14:paraId="3F02FD8E">
      <w:pPr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ascii="黑体" w:hAnsi="黑体" w:eastAsia="黑体" w:cs="黑体"/>
          <w:b/>
          <w:bCs/>
          <w:sz w:val="30"/>
          <w:szCs w:val="30"/>
        </w:rPr>
        <w:br w:type="page"/>
      </w:r>
    </w:p>
    <w:p w14:paraId="480F2348">
      <w:pPr>
        <w:spacing w:before="240" w:after="180"/>
        <w:jc w:val="left"/>
      </w:pPr>
      <w:r>
        <w:rPr>
          <w:rFonts w:ascii="黑体" w:hAnsi="黑体" w:eastAsia="黑体" w:cs="黑体"/>
          <w:b/>
          <w:bCs/>
          <w:sz w:val="30"/>
          <w:szCs w:val="30"/>
        </w:rPr>
        <w:t>命题四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 xml:space="preserve">  </w:t>
      </w:r>
      <w:r>
        <w:rPr>
          <w:rFonts w:ascii="黑体" w:hAnsi="黑体" w:eastAsia="黑体" w:cs="黑体"/>
          <w:b/>
          <w:bCs/>
          <w:sz w:val="30"/>
          <w:szCs w:val="30"/>
        </w:rPr>
        <w:t>沿江二社区·邻聚e家——社区共建共享微信小程序平台开发</w:t>
      </w:r>
    </w:p>
    <w:tbl>
      <w:tblPr>
        <w:tblStyle w:val="13"/>
        <w:tblW w:w="9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6800"/>
      </w:tblGrid>
      <w:tr w14:paraId="0872D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9BD867E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命题名称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3973AB0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沿江二社区·邻聚e家——社区共建共享微信小程序平台开发（具体名称待商议）</w:t>
            </w:r>
          </w:p>
        </w:tc>
      </w:tr>
      <w:tr w14:paraId="0B5CF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1407A1C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命题单位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65E04E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广东省信宜市玉都街道沿江二社区</w:t>
            </w:r>
          </w:p>
        </w:tc>
      </w:tr>
      <w:tr w14:paraId="0B36C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B5C0448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联系人/电话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69216B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阮冠旗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19075060557</w:t>
            </w:r>
          </w:p>
        </w:tc>
      </w:tr>
      <w:tr w14:paraId="1EA5C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64A32C9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命题背景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E99F3D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沿江二社区是信宜市玉都街道新建类粤东西北未来社区试点，总面积394.5公顷，覆盖住宅小区40余个，户籍人口约3.7万、常住人口约5.8万，以购房迁入新市民为主，居民归属感弱、民生需求多元，精细化治理压力大。辖区集聚中小学10余所、7处城市公园，教育生态与生态空间资源突出，但业态以个体商铺为主，无大型企业、无集体经营性收入。</w:t>
            </w:r>
          </w:p>
          <w:p w14:paraId="4E240FAA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2.2025年11月启动未来社区创建以来，社区正依托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“百千万工程”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推进共建共享数字化体系建设。对照广东省未来社区建设指标体系，社区当前数字化智慧底座薄弱，缺少统一线上服务载体，存在居民自治参与度低、民生信息传递滞后、教育/养老/托育等公共资源分散、供需匹配不精准等突出短板。</w:t>
            </w:r>
          </w:p>
          <w:p w14:paraId="71E3A2AC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3.为补齐数字化运营短板、打通民生服务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“最后一公里”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，助力未来社区16项指标落地见效，亟需搭建一体化线上信息化平台，以数字化手段整合辖区社会资源、激活居民自治活力，支撑未来社区长效可持续运营。</w:t>
            </w:r>
          </w:p>
        </w:tc>
      </w:tr>
      <w:tr w14:paraId="7A23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2A793FB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命题内容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AC81D2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开发一款以微信小程序为载体的社区服务平台，实现以下核心功能：</w:t>
            </w:r>
          </w:p>
          <w:p w14:paraId="545E3BE7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1.资源入口：为教育、医疗、慈善等社会资源提供入驻通道，展示可提供的服务项目；</w:t>
            </w:r>
          </w:p>
          <w:p w14:paraId="21325949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2.服务展示：居民可查看社区各类服务活动、便民信息及公共资源使用情况；</w:t>
            </w:r>
          </w:p>
          <w:p w14:paraId="20BD4ABD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3.需求反馈：居民在线提交服务需求与建议，社区及时收集响应；</w:t>
            </w:r>
          </w:p>
          <w:p w14:paraId="0E6F2D63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4.活动报名：支持社区活动在线发布、报名与管理；</w:t>
            </w:r>
          </w:p>
          <w:p w14:paraId="07436DD8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5.积分激励：建立居民参与积分体系，提升社区归属感与参与度。</w:t>
            </w:r>
          </w:p>
        </w:tc>
      </w:tr>
      <w:tr w14:paraId="1105B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69D7060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期望答题要求
（评选标准）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DC36E7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1.需提供可运行的小程序原型或演示版本，核心功能（资源入驻、服务展示、需求反馈）可交互演示；</w:t>
            </w:r>
          </w:p>
          <w:p w14:paraId="12087531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2.建议引入AI功能，提供通用性政策在线AI解答服务功能；</w:t>
            </w:r>
          </w:p>
          <w:p w14:paraId="1CC751F2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3.方案需契合广东省未来社区建设指标体系，兼顾社区实际资源状况与后续可持续运营能力。</w:t>
            </w:r>
          </w:p>
        </w:tc>
      </w:tr>
      <w:tr w14:paraId="65C2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E9C1880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保障措施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317E26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命题单位协助提供数据支持、调研场地，并配合团队开展居民走访与需求验证。</w:t>
            </w:r>
          </w:p>
        </w:tc>
      </w:tr>
      <w:tr w14:paraId="74109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D6369D9">
            <w:pPr>
              <w:jc w:val="center"/>
              <w:rPr>
                <w:b w:val="0"/>
                <w:color w:val="000000"/>
              </w:rPr>
            </w:pPr>
            <w:r>
              <w:rPr>
                <w:rFonts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激励措施</w:t>
            </w:r>
          </w:p>
        </w:tc>
        <w:tc>
          <w:tcPr>
            <w:tcW w:w="6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46F830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1.立项团队按校级创新创业项目管理，获校级专项立项经费资助（分两期拨付）；顺利结题团队授予华南师范大学创新创业</w:t>
            </w:r>
            <w:r>
              <w:rPr>
                <w:rFonts w:hint="eastAsia" w:cs="宋体"/>
                <w:b w:val="0"/>
                <w:color w:val="000000"/>
                <w:sz w:val="24"/>
                <w:szCs w:val="24"/>
                <w:lang w:eastAsia="zh-CN"/>
              </w:rPr>
              <w:t>“揭榜挂帅”</w:t>
            </w: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优秀成果一/二/三等奖。</w:t>
            </w:r>
          </w:p>
          <w:p w14:paraId="620613A4">
            <w:pPr>
              <w:spacing w:after="60" w:line="340" w:lineRule="auto"/>
              <w:rPr>
                <w:b w:val="0"/>
                <w:color w:val="000000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4"/>
                <w:szCs w:val="24"/>
              </w:rPr>
              <w:t>2.命题单位可根据项目实施成效自主配套追加专项扶持资金，同步深化合作任务、延长项目实施周期；表现突出的团队，经评审可推荐申报更高层级专项经费持续扶持。</w:t>
            </w:r>
          </w:p>
        </w:tc>
      </w:tr>
    </w:tbl>
    <w:p w14:paraId="0026A31A"/>
    <w:sectPr>
      <w:footerReference r:id="rId3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A77E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61D7FF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61D7FF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3BF1325"/>
    <w:rsid w:val="73E711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4"/>
      <w:szCs w:val="24"/>
    </w:rPr>
  </w:style>
  <w:style w:type="paragraph" w:styleId="2">
    <w:name w:val="heading 1"/>
    <w:next w:val="1"/>
    <w:qFormat/>
    <w:uiPriority w:val="0"/>
    <w:rPr>
      <w:rFonts w:ascii="宋体" w:hAnsi="宋体" w:eastAsia="宋体" w:cs="宋体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宋体" w:hAnsi="宋体" w:eastAsia="宋体" w:cs="宋体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宋体" w:hAnsi="宋体" w:eastAsia="宋体" w:cs="宋体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20"/>
    <w:semiHidden/>
    <w:unhideWhenUsed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19"/>
    <w:semiHidden/>
    <w:unhideWhenUsed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2">
    <w:name w:val="Title"/>
    <w:qFormat/>
    <w:uiPriority w:val="0"/>
    <w:rPr>
      <w:rFonts w:ascii="宋体" w:hAnsi="宋体" w:eastAsia="宋体" w:cs="宋体"/>
      <w:sz w:val="56"/>
      <w:szCs w:val="56"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uiPriority w:val="99"/>
    <w:rPr>
      <w:color w:val="0563C1"/>
      <w:u w:val="single"/>
    </w:rPr>
  </w:style>
  <w:style w:type="character" w:styleId="17">
    <w:name w:val="footnote reference"/>
    <w:semiHidden/>
    <w:unhideWhenUsed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9">
    <w:name w:val="Footnote Text Char"/>
    <w:link w:val="11"/>
    <w:semiHidden/>
    <w:unhideWhenUsed/>
    <w:uiPriority w:val="99"/>
    <w:rPr>
      <w:sz w:val="20"/>
      <w:szCs w:val="20"/>
    </w:rPr>
  </w:style>
  <w:style w:type="character" w:customStyle="1" w:styleId="20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1599</Words>
  <Characters>1650</Characters>
  <TotalTime>2</TotalTime>
  <ScaleCrop>false</ScaleCrop>
  <LinksUpToDate>false</LinksUpToDate>
  <CharactersWithSpaces>1660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2026-07-08T14:05:00Z</dcterms:created>
  <dc:creator>华南师范大学创业学院</dc:creator>
  <cp:lastModifiedBy>WEWE</cp:lastModifiedBy>
  <dcterms:modified xsi:type="dcterms:W3CDTF">2026-07-08T14:50:33Z</dcterms:modified>
  <dc:title>华南师范大学2026年度创新创业揭榜挂帅活动（双百行动专项）命题榜单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eyJoZGlkIjoiNTMwNWY0ODQ3MjhmMGExNGQ1N2YyMjI1YjMwZDViMjkiLCJ1c2VySWQiOiIyNDIzNzUyNjYifQ==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F7A557321A6440C28657A78B8D467D1C_13</vt:lpwstr>
  </property>
</Properties>
</file>