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E6" w:rsidRPr="009173E6" w:rsidRDefault="009173E6" w:rsidP="009173E6">
      <w:pPr>
        <w:widowControl/>
        <w:spacing w:line="870" w:lineRule="atLeast"/>
        <w:jc w:val="center"/>
        <w:rPr>
          <w:rFonts w:cs="宋体"/>
          <w:b/>
          <w:bCs/>
          <w:color w:val="5A7D01"/>
          <w:kern w:val="0"/>
        </w:rPr>
      </w:pPr>
      <w:r w:rsidRPr="009173E6">
        <w:rPr>
          <w:rFonts w:cs="宋体" w:hint="eastAsia"/>
          <w:b/>
          <w:bCs/>
          <w:color w:val="5A7D01"/>
          <w:kern w:val="0"/>
        </w:rPr>
        <w:t>2019</w:t>
      </w:r>
      <w:r>
        <w:rPr>
          <w:rFonts w:cs="宋体" w:hint="eastAsia"/>
          <w:b/>
          <w:bCs/>
          <w:color w:val="5A7D01"/>
          <w:kern w:val="0"/>
        </w:rPr>
        <w:t>年春季</w:t>
      </w:r>
      <w:r w:rsidRPr="009173E6">
        <w:rPr>
          <w:rFonts w:cs="宋体" w:hint="eastAsia"/>
          <w:b/>
          <w:bCs/>
          <w:color w:val="5A7D01"/>
          <w:kern w:val="0"/>
        </w:rPr>
        <w:t>华南师范大学与美国堪萨斯州立大学 访问学生项目报名通知</w:t>
      </w:r>
    </w:p>
    <w:p w:rsidR="009173E6" w:rsidRPr="003D4D09" w:rsidRDefault="009173E6" w:rsidP="009173E6">
      <w:pPr>
        <w:widowControl/>
        <w:spacing w:line="405" w:lineRule="atLeast"/>
        <w:ind w:left="300" w:right="150"/>
        <w:jc w:val="center"/>
        <w:rPr>
          <w:rFonts w:cs="宋体"/>
          <w:color w:val="333333"/>
          <w:kern w:val="0"/>
          <w:sz w:val="18"/>
          <w:szCs w:val="18"/>
        </w:rPr>
      </w:pPr>
    </w:p>
    <w:p w:rsidR="009173E6" w:rsidRPr="009173E6" w:rsidRDefault="009173E6" w:rsidP="009173E6">
      <w:pPr>
        <w:widowControl/>
        <w:spacing w:line="405" w:lineRule="atLeast"/>
        <w:ind w:left="300" w:right="150" w:firstLine="645"/>
        <w:jc w:val="left"/>
        <w:rPr>
          <w:rFonts w:cs="宋体"/>
          <w:color w:val="333333"/>
          <w:kern w:val="0"/>
          <w:sz w:val="18"/>
          <w:szCs w:val="18"/>
        </w:rPr>
      </w:pPr>
      <w:r w:rsidRPr="009173E6">
        <w:rPr>
          <w:rFonts w:ascii="仿宋" w:eastAsia="仿宋" w:hAnsi="仿宋" w:cs="宋体" w:hint="eastAsia"/>
          <w:color w:val="333333"/>
          <w:kern w:val="0"/>
          <w:sz w:val="32"/>
          <w:szCs w:val="32"/>
        </w:rPr>
        <w:t>根据华南师范大学与美国堪萨斯州立大学(Kansas State University)签署的校际交流协议，我校拟于</w:t>
      </w:r>
      <w:r>
        <w:rPr>
          <w:rFonts w:ascii="仿宋" w:eastAsia="仿宋" w:hAnsi="仿宋" w:cs="宋体" w:hint="eastAsia"/>
          <w:color w:val="333333"/>
          <w:kern w:val="0"/>
          <w:sz w:val="32"/>
          <w:szCs w:val="32"/>
        </w:rPr>
        <w:t>2019</w:t>
      </w:r>
      <w:r w:rsidRPr="009173E6">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1</w:t>
      </w:r>
      <w:r w:rsidRPr="009173E6">
        <w:rPr>
          <w:rFonts w:ascii="仿宋" w:eastAsia="仿宋" w:hAnsi="仿宋" w:cs="宋体" w:hint="eastAsia"/>
          <w:color w:val="333333"/>
          <w:kern w:val="0"/>
          <w:sz w:val="32"/>
          <w:szCs w:val="32"/>
        </w:rPr>
        <w:t>月向该校派遣本科交换学生(</w:t>
      </w:r>
      <w:r w:rsidR="005A1FE7">
        <w:rPr>
          <w:rFonts w:ascii="仿宋" w:eastAsia="仿宋" w:hAnsi="仿宋" w:cs="宋体"/>
          <w:color w:val="333333"/>
          <w:kern w:val="0"/>
          <w:sz w:val="32"/>
          <w:szCs w:val="32"/>
        </w:rPr>
        <w:t>8</w:t>
      </w:r>
      <w:r w:rsidRPr="009173E6">
        <w:rPr>
          <w:rFonts w:ascii="仿宋" w:eastAsia="仿宋" w:hAnsi="仿宋" w:cs="宋体" w:hint="eastAsia"/>
          <w:color w:val="333333"/>
          <w:kern w:val="0"/>
          <w:sz w:val="32"/>
          <w:szCs w:val="32"/>
        </w:rPr>
        <w:t>名)赴该校学习一年，现将有关事项通知如下：</w:t>
      </w:r>
    </w:p>
    <w:p w:rsidR="009173E6" w:rsidRPr="009173E6" w:rsidRDefault="009173E6" w:rsidP="009173E6">
      <w:pPr>
        <w:widowControl/>
        <w:spacing w:line="405" w:lineRule="atLeast"/>
        <w:ind w:left="420" w:right="150"/>
        <w:jc w:val="left"/>
        <w:rPr>
          <w:rFonts w:cs="宋体"/>
          <w:color w:val="333333"/>
          <w:kern w:val="0"/>
          <w:sz w:val="18"/>
          <w:szCs w:val="18"/>
        </w:rPr>
      </w:pPr>
      <w:r w:rsidRPr="009173E6">
        <w:rPr>
          <w:rFonts w:ascii="仿宋" w:eastAsia="仿宋" w:hAnsi="仿宋" w:cs="宋体" w:hint="eastAsia"/>
          <w:color w:val="333333"/>
          <w:kern w:val="0"/>
          <w:sz w:val="32"/>
          <w:szCs w:val="32"/>
        </w:rPr>
        <w:t>一、</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选派对象</w:t>
      </w:r>
    </w:p>
    <w:p w:rsidR="009173E6" w:rsidRPr="009173E6" w:rsidRDefault="009173E6" w:rsidP="009173E6">
      <w:pPr>
        <w:widowControl/>
        <w:spacing w:line="405" w:lineRule="atLeast"/>
        <w:ind w:left="300" w:right="150" w:firstLine="645"/>
        <w:jc w:val="left"/>
        <w:rPr>
          <w:rFonts w:cs="宋体"/>
          <w:color w:val="333333"/>
          <w:kern w:val="0"/>
          <w:sz w:val="18"/>
          <w:szCs w:val="18"/>
        </w:rPr>
      </w:pPr>
      <w:r w:rsidRPr="009173E6">
        <w:rPr>
          <w:rFonts w:ascii="仿宋" w:eastAsia="仿宋" w:hAnsi="仿宋" w:cs="宋体" w:hint="eastAsia"/>
          <w:color w:val="333333"/>
          <w:kern w:val="0"/>
          <w:sz w:val="32"/>
          <w:szCs w:val="32"/>
        </w:rPr>
        <w:t>我校在册全日制本科生，专业不限，对方院校有关专业可自行登陆</w:t>
      </w:r>
      <w:hyperlink r:id="rId6" w:history="1">
        <w:r w:rsidRPr="009173E6">
          <w:rPr>
            <w:rFonts w:ascii="仿宋" w:eastAsia="仿宋" w:hAnsi="仿宋" w:cs="宋体" w:hint="eastAsia"/>
            <w:color w:val="990000"/>
            <w:kern w:val="0"/>
            <w:sz w:val="32"/>
            <w:szCs w:val="32"/>
            <w:u w:val="single"/>
          </w:rPr>
          <w:t>www.k-state.edu</w:t>
        </w:r>
      </w:hyperlink>
      <w:r w:rsidRPr="009173E6">
        <w:rPr>
          <w:rFonts w:ascii="仿宋" w:eastAsia="仿宋" w:hAnsi="仿宋" w:cs="宋体" w:hint="eastAsia"/>
          <w:color w:val="333333"/>
          <w:kern w:val="0"/>
          <w:sz w:val="32"/>
          <w:szCs w:val="32"/>
        </w:rPr>
        <w:t>查询。</w:t>
      </w:r>
    </w:p>
    <w:p w:rsidR="009173E6" w:rsidRPr="009173E6" w:rsidRDefault="009173E6" w:rsidP="009173E6">
      <w:pPr>
        <w:widowControl/>
        <w:spacing w:line="405" w:lineRule="atLeast"/>
        <w:ind w:left="420" w:right="150"/>
        <w:jc w:val="left"/>
        <w:rPr>
          <w:rFonts w:cs="宋体"/>
          <w:color w:val="333333"/>
          <w:kern w:val="0"/>
          <w:sz w:val="18"/>
          <w:szCs w:val="18"/>
        </w:rPr>
      </w:pPr>
      <w:r w:rsidRPr="009173E6">
        <w:rPr>
          <w:rFonts w:ascii="仿宋" w:eastAsia="仿宋" w:hAnsi="仿宋" w:cs="宋体" w:hint="eastAsia"/>
          <w:color w:val="333333"/>
          <w:kern w:val="0"/>
          <w:sz w:val="32"/>
          <w:szCs w:val="32"/>
        </w:rPr>
        <w:t>二、</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交流学习人数</w:t>
      </w:r>
    </w:p>
    <w:p w:rsidR="009173E6" w:rsidRPr="009173E6" w:rsidRDefault="00A67AE5" w:rsidP="009173E6">
      <w:pPr>
        <w:widowControl/>
        <w:spacing w:line="405" w:lineRule="atLeast"/>
        <w:ind w:left="420" w:right="150"/>
        <w:jc w:val="left"/>
        <w:rPr>
          <w:rFonts w:cs="宋体"/>
          <w:color w:val="333333"/>
          <w:kern w:val="0"/>
          <w:sz w:val="18"/>
          <w:szCs w:val="18"/>
        </w:rPr>
      </w:pPr>
      <w:r>
        <w:rPr>
          <w:rFonts w:ascii="仿宋" w:eastAsia="仿宋" w:hAnsi="仿宋" w:cs="宋体"/>
          <w:color w:val="333333"/>
          <w:kern w:val="0"/>
          <w:sz w:val="32"/>
          <w:szCs w:val="32"/>
        </w:rPr>
        <w:t>8</w:t>
      </w:r>
      <w:r w:rsidR="009173E6" w:rsidRPr="009173E6">
        <w:rPr>
          <w:rFonts w:ascii="仿宋" w:eastAsia="仿宋" w:hAnsi="仿宋" w:cs="宋体" w:hint="eastAsia"/>
          <w:color w:val="333333"/>
          <w:kern w:val="0"/>
          <w:sz w:val="32"/>
          <w:szCs w:val="32"/>
        </w:rPr>
        <w:t>人</w:t>
      </w:r>
    </w:p>
    <w:p w:rsidR="009173E6" w:rsidRPr="009173E6" w:rsidRDefault="009173E6" w:rsidP="009173E6">
      <w:pPr>
        <w:widowControl/>
        <w:spacing w:line="405" w:lineRule="atLeast"/>
        <w:ind w:left="420" w:right="150"/>
        <w:jc w:val="left"/>
        <w:rPr>
          <w:rFonts w:cs="宋体"/>
          <w:color w:val="333333"/>
          <w:kern w:val="0"/>
          <w:sz w:val="18"/>
          <w:szCs w:val="18"/>
        </w:rPr>
      </w:pPr>
      <w:r w:rsidRPr="009173E6">
        <w:rPr>
          <w:rFonts w:ascii="仿宋" w:eastAsia="仿宋" w:hAnsi="仿宋" w:cs="宋体" w:hint="eastAsia"/>
          <w:color w:val="333333"/>
          <w:kern w:val="0"/>
          <w:sz w:val="32"/>
          <w:szCs w:val="32"/>
        </w:rPr>
        <w:t>三、</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交流学习时间(一学年)</w:t>
      </w:r>
    </w:p>
    <w:p w:rsidR="009173E6" w:rsidRPr="009173E6" w:rsidRDefault="009173E6" w:rsidP="009173E6">
      <w:pPr>
        <w:widowControl/>
        <w:spacing w:line="405" w:lineRule="atLeast"/>
        <w:ind w:left="420" w:right="150"/>
        <w:jc w:val="left"/>
        <w:rPr>
          <w:rFonts w:cs="宋体"/>
          <w:color w:val="333333"/>
          <w:kern w:val="0"/>
          <w:sz w:val="18"/>
          <w:szCs w:val="18"/>
        </w:rPr>
      </w:pPr>
      <w:r>
        <w:rPr>
          <w:rFonts w:ascii="仿宋" w:eastAsia="仿宋" w:hAnsi="仿宋" w:cs="宋体" w:hint="eastAsia"/>
          <w:color w:val="333333"/>
          <w:kern w:val="0"/>
          <w:sz w:val="32"/>
          <w:szCs w:val="32"/>
        </w:rPr>
        <w:t>2019</w:t>
      </w:r>
      <w:r w:rsidRPr="009173E6">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1</w:t>
      </w:r>
      <w:r w:rsidRPr="009173E6">
        <w:rPr>
          <w:rFonts w:ascii="仿宋" w:eastAsia="仿宋" w:hAnsi="仿宋" w:cs="宋体" w:hint="eastAsia"/>
          <w:color w:val="333333"/>
          <w:kern w:val="0"/>
          <w:sz w:val="32"/>
          <w:szCs w:val="32"/>
        </w:rPr>
        <w:t>月—2019年</w:t>
      </w:r>
      <w:r>
        <w:rPr>
          <w:rFonts w:ascii="仿宋" w:eastAsia="仿宋" w:hAnsi="仿宋" w:cs="宋体" w:hint="eastAsia"/>
          <w:color w:val="333333"/>
          <w:kern w:val="0"/>
          <w:sz w:val="32"/>
          <w:szCs w:val="32"/>
        </w:rPr>
        <w:t>12</w:t>
      </w:r>
      <w:r w:rsidRPr="009173E6">
        <w:rPr>
          <w:rFonts w:ascii="仿宋" w:eastAsia="仿宋" w:hAnsi="仿宋" w:cs="宋体" w:hint="eastAsia"/>
          <w:color w:val="333333"/>
          <w:kern w:val="0"/>
          <w:sz w:val="32"/>
          <w:szCs w:val="32"/>
        </w:rPr>
        <w:t>月（两学期）</w:t>
      </w:r>
    </w:p>
    <w:p w:rsidR="009173E6" w:rsidRPr="009173E6" w:rsidRDefault="009173E6" w:rsidP="009173E6">
      <w:pPr>
        <w:widowControl/>
        <w:spacing w:line="405" w:lineRule="atLeast"/>
        <w:ind w:left="420" w:right="150"/>
        <w:jc w:val="left"/>
        <w:rPr>
          <w:rFonts w:cs="宋体"/>
          <w:color w:val="333333"/>
          <w:kern w:val="0"/>
          <w:sz w:val="18"/>
          <w:szCs w:val="18"/>
        </w:rPr>
      </w:pPr>
      <w:r w:rsidRPr="009173E6">
        <w:rPr>
          <w:rFonts w:ascii="仿宋" w:eastAsia="仿宋" w:hAnsi="仿宋" w:cs="宋体" w:hint="eastAsia"/>
          <w:color w:val="333333"/>
          <w:kern w:val="0"/>
          <w:sz w:val="32"/>
          <w:szCs w:val="32"/>
        </w:rPr>
        <w:t>四、</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申请及项目要求</w:t>
      </w:r>
    </w:p>
    <w:p w:rsidR="009173E6" w:rsidRPr="009173E6" w:rsidRDefault="009173E6" w:rsidP="009173E6">
      <w:pPr>
        <w:widowControl/>
        <w:spacing w:line="495" w:lineRule="atLeast"/>
        <w:ind w:right="150"/>
        <w:jc w:val="left"/>
        <w:rPr>
          <w:rFonts w:cs="宋体"/>
          <w:color w:val="333333"/>
          <w:kern w:val="0"/>
          <w:sz w:val="18"/>
          <w:szCs w:val="18"/>
        </w:rPr>
      </w:pPr>
      <w:r w:rsidRPr="009173E6">
        <w:rPr>
          <w:rFonts w:ascii="仿宋" w:eastAsia="仿宋" w:hAnsi="仿宋" w:cs="宋体" w:hint="eastAsia"/>
          <w:color w:val="333333"/>
          <w:kern w:val="0"/>
          <w:sz w:val="32"/>
          <w:szCs w:val="32"/>
        </w:rPr>
        <w:t>1.身心健康，具有较好的综合、政治、心理素质，学习成绩优异；</w:t>
      </w:r>
    </w:p>
    <w:p w:rsidR="009173E6" w:rsidRPr="009173E6" w:rsidRDefault="009173E6" w:rsidP="009173E6">
      <w:pPr>
        <w:widowControl/>
        <w:spacing w:line="495" w:lineRule="atLeast"/>
        <w:ind w:right="150"/>
        <w:jc w:val="left"/>
        <w:rPr>
          <w:rFonts w:cs="宋体"/>
          <w:color w:val="333333"/>
          <w:kern w:val="0"/>
          <w:sz w:val="18"/>
          <w:szCs w:val="18"/>
        </w:rPr>
      </w:pPr>
      <w:r w:rsidRPr="009173E6">
        <w:rPr>
          <w:rFonts w:ascii="仿宋" w:eastAsia="仿宋" w:hAnsi="仿宋" w:cs="宋体" w:hint="eastAsia"/>
          <w:color w:val="333333"/>
          <w:kern w:val="0"/>
          <w:sz w:val="32"/>
          <w:szCs w:val="32"/>
        </w:rPr>
        <w:t>2.我校学生根据自身学习计划安排及家庭经济承受能力自愿报名；</w:t>
      </w:r>
    </w:p>
    <w:p w:rsidR="009173E6" w:rsidRPr="009173E6" w:rsidRDefault="009173E6" w:rsidP="009173E6">
      <w:pPr>
        <w:widowControl/>
        <w:spacing w:line="495" w:lineRule="atLeast"/>
        <w:ind w:right="150"/>
        <w:jc w:val="left"/>
        <w:rPr>
          <w:rFonts w:cs="宋体"/>
          <w:color w:val="333333"/>
          <w:kern w:val="0"/>
          <w:sz w:val="18"/>
          <w:szCs w:val="18"/>
        </w:rPr>
      </w:pPr>
      <w:r w:rsidRPr="009173E6">
        <w:rPr>
          <w:rFonts w:ascii="仿宋" w:eastAsia="仿宋" w:hAnsi="仿宋" w:cs="宋体" w:hint="eastAsia"/>
          <w:color w:val="333333"/>
          <w:kern w:val="0"/>
          <w:sz w:val="32"/>
          <w:szCs w:val="32"/>
        </w:rPr>
        <w:t>3.交流生必须在出国前购买符合两校规定的境外意外及医疗保险并提交有效的保险证明。如出国前无法提交有效的保险证明，学校有权终止派出交流生；</w:t>
      </w:r>
    </w:p>
    <w:p w:rsidR="009173E6" w:rsidRPr="009173E6" w:rsidRDefault="009173E6" w:rsidP="009173E6">
      <w:pPr>
        <w:widowControl/>
        <w:spacing w:line="495" w:lineRule="atLeast"/>
        <w:ind w:right="150"/>
        <w:jc w:val="left"/>
        <w:rPr>
          <w:rFonts w:cs="宋体"/>
          <w:color w:val="333333"/>
          <w:kern w:val="0"/>
          <w:sz w:val="18"/>
          <w:szCs w:val="18"/>
        </w:rPr>
      </w:pPr>
      <w:r w:rsidRPr="009173E6">
        <w:rPr>
          <w:rFonts w:ascii="仿宋" w:eastAsia="仿宋" w:hAnsi="仿宋" w:cs="宋体" w:hint="eastAsia"/>
          <w:color w:val="333333"/>
          <w:kern w:val="0"/>
          <w:sz w:val="32"/>
          <w:szCs w:val="32"/>
        </w:rPr>
        <w:lastRenderedPageBreak/>
        <w:t>4.我校学生须选择就读与华师本专业相同或相近专业</w:t>
      </w:r>
      <w:r w:rsidR="0007312C">
        <w:rPr>
          <w:rFonts w:ascii="仿宋" w:eastAsia="仿宋" w:hAnsi="仿宋" w:cs="宋体" w:hint="eastAsia"/>
          <w:color w:val="333333"/>
          <w:kern w:val="0"/>
          <w:sz w:val="32"/>
          <w:szCs w:val="32"/>
        </w:rPr>
        <w:t>。学校根据教务处的有关管理规定，管理学生交换期间的学籍，依据交流</w:t>
      </w:r>
      <w:r w:rsidRPr="009173E6">
        <w:rPr>
          <w:rFonts w:ascii="仿宋" w:eastAsia="仿宋" w:hAnsi="仿宋" w:cs="宋体" w:hint="eastAsia"/>
          <w:color w:val="333333"/>
          <w:kern w:val="0"/>
          <w:sz w:val="32"/>
          <w:szCs w:val="32"/>
        </w:rPr>
        <w:t>生在美国修读的课程及学分，由所在学院进行具体的课程认定并制定相关课程免修与补修方案（交换学习期间的学籍、学分、实习及毕业论文等事宜，按照教务处有关规定执行，详情请咨询教务处或学院主管教学副院长）。</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5.经协商，我校访问学生免考托福和雅思成绩申请入学，但在抵达该校后需参加对方学校的语言测试，通过后方能进入专业课学习，若未能达到对方学校入读专业</w:t>
      </w:r>
      <w:r w:rsidR="007C3844">
        <w:rPr>
          <w:rFonts w:ascii="仿宋" w:eastAsia="仿宋" w:hAnsi="仿宋" w:cs="宋体" w:hint="eastAsia"/>
          <w:color w:val="333333"/>
          <w:kern w:val="0"/>
          <w:sz w:val="32"/>
          <w:szCs w:val="32"/>
        </w:rPr>
        <w:t>课的语言要求，则需修读该校的语言课程（费用按国际生学费标准自理</w:t>
      </w:r>
      <w:r w:rsidRPr="009173E6">
        <w:rPr>
          <w:rFonts w:ascii="仿宋" w:eastAsia="仿宋" w:hAnsi="仿宋" w:cs="宋体" w:hint="eastAsia"/>
          <w:color w:val="333333"/>
          <w:kern w:val="0"/>
          <w:sz w:val="32"/>
          <w:szCs w:val="32"/>
        </w:rPr>
        <w:t>）。</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5．如在入学指定时间前能提交语言成绩（托福iBT79分或以上、雅思成绩6.5或以上）则可免入学语言考试直接进入专业课学习。</w:t>
      </w:r>
    </w:p>
    <w:p w:rsidR="009173E6" w:rsidRPr="009173E6" w:rsidRDefault="009173E6" w:rsidP="009173E6">
      <w:pPr>
        <w:widowControl/>
        <w:spacing w:line="405" w:lineRule="atLeast"/>
        <w:ind w:left="300" w:right="150" w:firstLine="645"/>
        <w:jc w:val="left"/>
        <w:rPr>
          <w:rFonts w:cs="宋体"/>
          <w:color w:val="333333"/>
          <w:kern w:val="0"/>
          <w:sz w:val="18"/>
          <w:szCs w:val="18"/>
        </w:rPr>
      </w:pPr>
      <w:r w:rsidRPr="009173E6">
        <w:rPr>
          <w:rFonts w:ascii="Calibri" w:eastAsia="仿宋" w:hAnsi="Calibri" w:cs="Calibri"/>
          <w:color w:val="333333"/>
          <w:kern w:val="0"/>
          <w:sz w:val="32"/>
          <w:szCs w:val="32"/>
        </w:rPr>
        <w:t> </w:t>
      </w:r>
    </w:p>
    <w:p w:rsidR="009173E6" w:rsidRPr="009173E6" w:rsidRDefault="009173E6" w:rsidP="009173E6">
      <w:pPr>
        <w:widowControl/>
        <w:spacing w:line="405" w:lineRule="atLeast"/>
        <w:ind w:left="420" w:right="150"/>
        <w:jc w:val="left"/>
        <w:rPr>
          <w:rFonts w:cs="宋体"/>
          <w:color w:val="333333"/>
          <w:kern w:val="0"/>
          <w:sz w:val="18"/>
          <w:szCs w:val="18"/>
        </w:rPr>
      </w:pPr>
      <w:r w:rsidRPr="009173E6">
        <w:rPr>
          <w:rFonts w:ascii="仿宋" w:eastAsia="仿宋" w:hAnsi="仿宋" w:cs="宋体" w:hint="eastAsia"/>
          <w:color w:val="333333"/>
          <w:kern w:val="0"/>
          <w:sz w:val="32"/>
          <w:szCs w:val="32"/>
        </w:rPr>
        <w:t>五、</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相关费用说明（以下费用仅供参考）</w:t>
      </w:r>
    </w:p>
    <w:p w:rsidR="009173E6" w:rsidRDefault="009173E6" w:rsidP="009173E6">
      <w:pPr>
        <w:widowControl/>
        <w:spacing w:line="405" w:lineRule="atLeast"/>
        <w:ind w:left="360" w:right="150"/>
        <w:jc w:val="left"/>
        <w:rPr>
          <w:rFonts w:ascii="仿宋" w:eastAsia="仿宋" w:hAnsi="仿宋" w:cs="宋体"/>
          <w:color w:val="333333"/>
          <w:kern w:val="0"/>
          <w:sz w:val="32"/>
          <w:szCs w:val="32"/>
        </w:rPr>
      </w:pPr>
      <w:r w:rsidRPr="009173E6">
        <w:rPr>
          <w:rFonts w:ascii="仿宋" w:eastAsia="仿宋" w:hAnsi="仿宋" w:cs="宋体" w:hint="eastAsia"/>
          <w:color w:val="333333"/>
          <w:kern w:val="0"/>
          <w:sz w:val="32"/>
          <w:szCs w:val="32"/>
        </w:rPr>
        <w:t>1、</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根据协议，我校访问学生可享受美国堪萨斯州当地居民的学费标准，以下费用仅供参考（该费用以每学期修</w:t>
      </w:r>
      <w:r w:rsidR="00541C63">
        <w:rPr>
          <w:rFonts w:ascii="仿宋" w:eastAsia="仿宋" w:hAnsi="仿宋" w:cs="宋体" w:hint="eastAsia"/>
          <w:color w:val="333333"/>
          <w:kern w:val="0"/>
          <w:sz w:val="32"/>
          <w:szCs w:val="32"/>
        </w:rPr>
        <w:t>12</w:t>
      </w:r>
      <w:r w:rsidR="003C0AAB">
        <w:rPr>
          <w:rFonts w:ascii="仿宋" w:eastAsia="仿宋" w:hAnsi="仿宋" w:cs="宋体" w:hint="eastAsia"/>
          <w:color w:val="333333"/>
          <w:kern w:val="0"/>
          <w:sz w:val="32"/>
          <w:szCs w:val="32"/>
        </w:rPr>
        <w:t>个学分专业课程共修两学期预算</w:t>
      </w:r>
      <w:r w:rsidRPr="009173E6">
        <w:rPr>
          <w:rFonts w:ascii="仿宋" w:eastAsia="仿宋" w:hAnsi="仿宋" w:cs="宋体" w:hint="eastAsia"/>
          <w:color w:val="333333"/>
          <w:kern w:val="0"/>
          <w:sz w:val="32"/>
          <w:szCs w:val="32"/>
        </w:rPr>
        <w:t>）</w:t>
      </w:r>
    </w:p>
    <w:p w:rsidR="00C92975" w:rsidRDefault="00C92975" w:rsidP="009173E6">
      <w:pPr>
        <w:widowControl/>
        <w:spacing w:line="405" w:lineRule="atLeast"/>
        <w:ind w:left="360" w:right="150"/>
        <w:jc w:val="left"/>
        <w:rPr>
          <w:rFonts w:ascii="仿宋" w:eastAsia="仿宋" w:hAnsi="仿宋" w:cs="宋体"/>
          <w:color w:val="333333"/>
          <w:kern w:val="0"/>
          <w:sz w:val="32"/>
          <w:szCs w:val="32"/>
        </w:rPr>
      </w:pPr>
    </w:p>
    <w:p w:rsidR="00C92975" w:rsidRDefault="00C92975" w:rsidP="009173E6">
      <w:pPr>
        <w:widowControl/>
        <w:spacing w:line="405" w:lineRule="atLeast"/>
        <w:ind w:left="360" w:right="150"/>
        <w:jc w:val="left"/>
        <w:rPr>
          <w:rFonts w:ascii="仿宋" w:eastAsia="仿宋" w:hAnsi="仿宋" w:cs="宋体"/>
          <w:color w:val="333333"/>
          <w:kern w:val="0"/>
          <w:sz w:val="32"/>
          <w:szCs w:val="32"/>
        </w:rPr>
      </w:pPr>
    </w:p>
    <w:p w:rsidR="00C92975" w:rsidRPr="009173E6" w:rsidRDefault="00C92975" w:rsidP="009173E6">
      <w:pPr>
        <w:widowControl/>
        <w:spacing w:line="405" w:lineRule="atLeast"/>
        <w:ind w:left="360" w:right="150"/>
        <w:jc w:val="left"/>
        <w:rPr>
          <w:rFonts w:cs="宋体"/>
          <w:color w:val="333333"/>
          <w:kern w:val="0"/>
          <w:sz w:val="18"/>
          <w:szCs w:val="18"/>
        </w:rPr>
      </w:pPr>
    </w:p>
    <w:tbl>
      <w:tblPr>
        <w:tblW w:w="85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3312"/>
        <w:gridCol w:w="3260"/>
      </w:tblGrid>
      <w:tr w:rsidR="004025B1" w:rsidRPr="009173E6" w:rsidTr="004025B1">
        <w:trPr>
          <w:tblCellSpacing w:w="0" w:type="dxa"/>
        </w:trPr>
        <w:tc>
          <w:tcPr>
            <w:tcW w:w="1928" w:type="dxa"/>
            <w:tcMar>
              <w:top w:w="0" w:type="dxa"/>
              <w:left w:w="105" w:type="dxa"/>
              <w:bottom w:w="0" w:type="dxa"/>
              <w:right w:w="105" w:type="dxa"/>
            </w:tcMar>
            <w:hideMark/>
          </w:tcPr>
          <w:p w:rsidR="009173E6" w:rsidRPr="009173E6" w:rsidRDefault="009173E6" w:rsidP="009173E6">
            <w:pPr>
              <w:widowControl/>
              <w:jc w:val="left"/>
              <w:rPr>
                <w:rFonts w:cs="宋体"/>
                <w:color w:val="333333"/>
                <w:kern w:val="0"/>
                <w:sz w:val="24"/>
                <w:szCs w:val="24"/>
              </w:rPr>
            </w:pPr>
          </w:p>
        </w:tc>
        <w:tc>
          <w:tcPr>
            <w:tcW w:w="3312"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Kansas Resident</w:t>
            </w:r>
          </w:p>
        </w:tc>
        <w:tc>
          <w:tcPr>
            <w:tcW w:w="3260"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Non Resident</w:t>
            </w:r>
          </w:p>
        </w:tc>
      </w:tr>
      <w:tr w:rsidR="004025B1" w:rsidRPr="009173E6" w:rsidTr="004025B1">
        <w:trPr>
          <w:trHeight w:val="495"/>
          <w:tblCellSpacing w:w="0" w:type="dxa"/>
        </w:trPr>
        <w:tc>
          <w:tcPr>
            <w:tcW w:w="1928" w:type="dxa"/>
            <w:vAlign w:val="center"/>
            <w:hideMark/>
          </w:tcPr>
          <w:p w:rsidR="009173E6" w:rsidRPr="009173E6" w:rsidRDefault="002955EF" w:rsidP="009173E6">
            <w:pPr>
              <w:widowControl/>
              <w:jc w:val="left"/>
              <w:rPr>
                <w:rFonts w:cs="宋体"/>
                <w:color w:val="333333"/>
                <w:kern w:val="0"/>
                <w:sz w:val="24"/>
                <w:szCs w:val="24"/>
              </w:rPr>
            </w:pPr>
            <w:r w:rsidRPr="009173E6">
              <w:rPr>
                <w:rFonts w:ascii="Verdana" w:hAnsi="Verdana" w:cs="宋体"/>
                <w:color w:val="333333"/>
                <w:kern w:val="0"/>
                <w:sz w:val="24"/>
                <w:szCs w:val="24"/>
              </w:rPr>
              <w:t> Tuition &amp; fees</w:t>
            </w:r>
            <w:r>
              <w:rPr>
                <w:rFonts w:ascii="Verdana" w:hAnsi="Verdana" w:cs="宋体"/>
                <w:color w:val="333333"/>
                <w:kern w:val="0"/>
                <w:sz w:val="24"/>
                <w:szCs w:val="24"/>
              </w:rPr>
              <w:t xml:space="preserve"> </w:t>
            </w:r>
          </w:p>
        </w:tc>
        <w:tc>
          <w:tcPr>
            <w:tcW w:w="3312" w:type="dxa"/>
            <w:tcMar>
              <w:top w:w="0" w:type="dxa"/>
              <w:left w:w="105" w:type="dxa"/>
              <w:bottom w:w="0" w:type="dxa"/>
              <w:right w:w="105" w:type="dxa"/>
            </w:tcMar>
            <w:hideMark/>
          </w:tcPr>
          <w:p w:rsidR="009173E6" w:rsidRPr="009173E6" w:rsidRDefault="00172855" w:rsidP="002955EF">
            <w:pPr>
              <w:widowControl/>
              <w:spacing w:line="405" w:lineRule="atLeast"/>
              <w:ind w:left="300" w:right="150"/>
              <w:jc w:val="left"/>
              <w:rPr>
                <w:rFonts w:cs="宋体"/>
                <w:color w:val="333333"/>
                <w:kern w:val="0"/>
                <w:sz w:val="24"/>
                <w:szCs w:val="24"/>
              </w:rPr>
            </w:pPr>
            <w:r>
              <w:rPr>
                <w:rFonts w:ascii="Verdana" w:hAnsi="Verdana" w:cs="宋体"/>
                <w:color w:val="333333"/>
                <w:kern w:val="0"/>
                <w:sz w:val="24"/>
                <w:szCs w:val="24"/>
              </w:rPr>
              <w:t>$8,548</w:t>
            </w:r>
            <w:r w:rsidR="009173E6" w:rsidRPr="009173E6">
              <w:rPr>
                <w:rFonts w:ascii="Verdana" w:hAnsi="Verdana" w:cs="宋体"/>
                <w:color w:val="333333"/>
                <w:kern w:val="0"/>
                <w:sz w:val="24"/>
                <w:szCs w:val="24"/>
              </w:rPr>
              <w:t xml:space="preserve"> plus course fees/year</w:t>
            </w:r>
            <w:r w:rsidR="009173E6" w:rsidRPr="009173E6">
              <w:rPr>
                <w:rFonts w:ascii="Verdana" w:hAnsi="Verdana" w:cs="宋体"/>
                <w:color w:val="333333"/>
                <w:kern w:val="0"/>
                <w:sz w:val="24"/>
                <w:szCs w:val="24"/>
              </w:rPr>
              <w:br/>
              <w:t>  </w:t>
            </w:r>
            <w:r w:rsidR="009173E6" w:rsidRPr="009173E6">
              <w:rPr>
                <w:rFonts w:ascii="Verdana" w:hAnsi="Verdana" w:cs="宋体"/>
                <w:color w:val="333333"/>
                <w:kern w:val="0"/>
                <w:sz w:val="24"/>
                <w:szCs w:val="24"/>
              </w:rPr>
              <w:br/>
            </w:r>
          </w:p>
        </w:tc>
        <w:tc>
          <w:tcPr>
            <w:tcW w:w="3260" w:type="dxa"/>
            <w:tcMar>
              <w:top w:w="0" w:type="dxa"/>
              <w:left w:w="105" w:type="dxa"/>
              <w:bottom w:w="0" w:type="dxa"/>
              <w:right w:w="105" w:type="dxa"/>
            </w:tcMar>
            <w:hideMark/>
          </w:tcPr>
          <w:p w:rsidR="009173E6" w:rsidRPr="009173E6" w:rsidRDefault="002955EF" w:rsidP="009173E6">
            <w:pPr>
              <w:widowControl/>
              <w:spacing w:line="405" w:lineRule="atLeast"/>
              <w:ind w:left="300" w:right="150"/>
              <w:jc w:val="left"/>
              <w:rPr>
                <w:rFonts w:cs="宋体"/>
                <w:color w:val="333333"/>
                <w:kern w:val="0"/>
                <w:sz w:val="24"/>
                <w:szCs w:val="24"/>
              </w:rPr>
            </w:pPr>
            <w:r>
              <w:rPr>
                <w:rFonts w:ascii="Verdana" w:hAnsi="Verdana" w:cs="宋体"/>
                <w:color w:val="333333"/>
                <w:kern w:val="0"/>
                <w:sz w:val="24"/>
                <w:szCs w:val="24"/>
              </w:rPr>
              <w:t>$20,951</w:t>
            </w:r>
            <w:r w:rsidR="009173E6" w:rsidRPr="009173E6">
              <w:rPr>
                <w:rFonts w:ascii="Verdana" w:hAnsi="Verdana" w:cs="宋体"/>
                <w:color w:val="333333"/>
                <w:kern w:val="0"/>
                <w:sz w:val="24"/>
                <w:szCs w:val="24"/>
              </w:rPr>
              <w:t xml:space="preserve"> plus course fees/year</w:t>
            </w:r>
          </w:p>
        </w:tc>
      </w:tr>
      <w:tr w:rsidR="004025B1" w:rsidRPr="009173E6" w:rsidTr="004025B1">
        <w:trPr>
          <w:tblCellSpacing w:w="0" w:type="dxa"/>
        </w:trPr>
        <w:tc>
          <w:tcPr>
            <w:tcW w:w="1928"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Housing on-campus</w:t>
            </w:r>
          </w:p>
        </w:tc>
        <w:tc>
          <w:tcPr>
            <w:tcW w:w="3312" w:type="dxa"/>
            <w:tcMar>
              <w:top w:w="0" w:type="dxa"/>
              <w:left w:w="105" w:type="dxa"/>
              <w:bottom w:w="0" w:type="dxa"/>
              <w:right w:w="105" w:type="dxa"/>
            </w:tcMar>
            <w:hideMark/>
          </w:tcPr>
          <w:p w:rsidR="009173E6" w:rsidRPr="009173E6" w:rsidRDefault="00172855" w:rsidP="009173E6">
            <w:pPr>
              <w:widowControl/>
              <w:spacing w:line="405" w:lineRule="atLeast"/>
              <w:ind w:left="300" w:right="150"/>
              <w:jc w:val="left"/>
              <w:rPr>
                <w:rFonts w:cs="宋体"/>
                <w:color w:val="333333"/>
                <w:kern w:val="0"/>
                <w:sz w:val="24"/>
                <w:szCs w:val="24"/>
              </w:rPr>
            </w:pPr>
            <w:r>
              <w:rPr>
                <w:rFonts w:ascii="Verdana" w:hAnsi="Verdana" w:cs="宋体"/>
                <w:color w:val="333333"/>
                <w:kern w:val="0"/>
                <w:sz w:val="24"/>
                <w:szCs w:val="24"/>
              </w:rPr>
              <w:t>$8,970~10,33</w:t>
            </w:r>
            <w:r w:rsidR="009173E6" w:rsidRPr="009173E6">
              <w:rPr>
                <w:rFonts w:ascii="Verdana" w:hAnsi="Verdana" w:cs="宋体"/>
                <w:color w:val="333333"/>
                <w:kern w:val="0"/>
                <w:sz w:val="24"/>
                <w:szCs w:val="24"/>
              </w:rPr>
              <w:t>0/year</w:t>
            </w:r>
          </w:p>
        </w:tc>
        <w:tc>
          <w:tcPr>
            <w:tcW w:w="3260" w:type="dxa"/>
            <w:tcMar>
              <w:top w:w="0" w:type="dxa"/>
              <w:left w:w="105" w:type="dxa"/>
              <w:bottom w:w="0" w:type="dxa"/>
              <w:right w:w="105" w:type="dxa"/>
            </w:tcMar>
            <w:hideMark/>
          </w:tcPr>
          <w:p w:rsidR="009173E6" w:rsidRPr="009173E6" w:rsidRDefault="00172855" w:rsidP="009173E6">
            <w:pPr>
              <w:widowControl/>
              <w:spacing w:line="405" w:lineRule="atLeast"/>
              <w:ind w:left="300" w:right="150"/>
              <w:jc w:val="left"/>
              <w:rPr>
                <w:rFonts w:cs="宋体"/>
                <w:color w:val="333333"/>
                <w:kern w:val="0"/>
                <w:sz w:val="24"/>
                <w:szCs w:val="24"/>
              </w:rPr>
            </w:pPr>
            <w:r>
              <w:rPr>
                <w:rFonts w:ascii="Verdana" w:hAnsi="Verdana" w:cs="宋体"/>
                <w:color w:val="333333"/>
                <w:kern w:val="0"/>
                <w:sz w:val="24"/>
                <w:szCs w:val="24"/>
              </w:rPr>
              <w:t>$8,970~10,33</w:t>
            </w:r>
            <w:r w:rsidRPr="009173E6">
              <w:rPr>
                <w:rFonts w:ascii="Verdana" w:hAnsi="Verdana" w:cs="宋体"/>
                <w:color w:val="333333"/>
                <w:kern w:val="0"/>
                <w:sz w:val="24"/>
                <w:szCs w:val="24"/>
              </w:rPr>
              <w:t>0/year</w:t>
            </w:r>
          </w:p>
        </w:tc>
      </w:tr>
      <w:tr w:rsidR="004025B1" w:rsidRPr="009173E6" w:rsidTr="004025B1">
        <w:trPr>
          <w:tblCellSpacing w:w="0" w:type="dxa"/>
        </w:trPr>
        <w:tc>
          <w:tcPr>
            <w:tcW w:w="1928"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Books &amp; supplies</w:t>
            </w:r>
          </w:p>
        </w:tc>
        <w:tc>
          <w:tcPr>
            <w:tcW w:w="3312"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$800~900/year</w:t>
            </w:r>
          </w:p>
        </w:tc>
        <w:tc>
          <w:tcPr>
            <w:tcW w:w="3260"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$800~900/year</w:t>
            </w:r>
          </w:p>
        </w:tc>
      </w:tr>
      <w:tr w:rsidR="004025B1" w:rsidRPr="009173E6" w:rsidTr="004025B1">
        <w:trPr>
          <w:trHeight w:val="270"/>
          <w:tblCellSpacing w:w="0" w:type="dxa"/>
        </w:trPr>
        <w:tc>
          <w:tcPr>
            <w:tcW w:w="1928" w:type="dxa"/>
            <w:tcMar>
              <w:top w:w="0" w:type="dxa"/>
              <w:left w:w="105" w:type="dxa"/>
              <w:bottom w:w="0" w:type="dxa"/>
              <w:right w:w="105" w:type="dxa"/>
            </w:tcMar>
            <w:hideMark/>
          </w:tcPr>
          <w:p w:rsidR="009173E6" w:rsidRPr="009173E6" w:rsidRDefault="009173E6" w:rsidP="009173E6">
            <w:pPr>
              <w:widowControl/>
              <w:spacing w:line="330" w:lineRule="atLeast"/>
              <w:jc w:val="left"/>
              <w:rPr>
                <w:rFonts w:cs="宋体"/>
                <w:color w:val="333333"/>
                <w:kern w:val="0"/>
                <w:sz w:val="24"/>
                <w:szCs w:val="24"/>
              </w:rPr>
            </w:pPr>
            <w:r w:rsidRPr="009173E6">
              <w:rPr>
                <w:rFonts w:ascii="Verdana" w:hAnsi="Verdana" w:cs="宋体"/>
                <w:color w:val="333333"/>
                <w:kern w:val="0"/>
                <w:sz w:val="24"/>
                <w:szCs w:val="24"/>
              </w:rPr>
              <w:t>Miscellaneous</w:t>
            </w:r>
          </w:p>
        </w:tc>
        <w:tc>
          <w:tcPr>
            <w:tcW w:w="3312"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$1,600~4,000/year</w:t>
            </w:r>
          </w:p>
        </w:tc>
        <w:tc>
          <w:tcPr>
            <w:tcW w:w="3260" w:type="dxa"/>
            <w:tcMar>
              <w:top w:w="0" w:type="dxa"/>
              <w:left w:w="105" w:type="dxa"/>
              <w:bottom w:w="0" w:type="dxa"/>
              <w:right w:w="105" w:type="dxa"/>
            </w:tcMar>
            <w:hideMark/>
          </w:tcPr>
          <w:p w:rsidR="009173E6" w:rsidRPr="009173E6" w:rsidRDefault="009173E6" w:rsidP="009173E6">
            <w:pPr>
              <w:widowControl/>
              <w:spacing w:line="405" w:lineRule="atLeast"/>
              <w:ind w:left="300" w:right="150"/>
              <w:jc w:val="left"/>
              <w:rPr>
                <w:rFonts w:cs="宋体"/>
                <w:color w:val="333333"/>
                <w:kern w:val="0"/>
                <w:sz w:val="24"/>
                <w:szCs w:val="24"/>
              </w:rPr>
            </w:pPr>
            <w:r w:rsidRPr="009173E6">
              <w:rPr>
                <w:rFonts w:ascii="Verdana" w:hAnsi="Verdana" w:cs="宋体"/>
                <w:color w:val="333333"/>
                <w:kern w:val="0"/>
                <w:sz w:val="24"/>
                <w:szCs w:val="24"/>
              </w:rPr>
              <w:t>$1,600~4,000/year</w:t>
            </w:r>
          </w:p>
        </w:tc>
      </w:tr>
      <w:tr w:rsidR="004025B1" w:rsidRPr="009173E6" w:rsidTr="004025B1">
        <w:trPr>
          <w:trHeight w:val="1350"/>
          <w:tblCellSpacing w:w="0" w:type="dxa"/>
        </w:trPr>
        <w:tc>
          <w:tcPr>
            <w:tcW w:w="1928" w:type="dxa"/>
            <w:tcMar>
              <w:top w:w="0" w:type="dxa"/>
              <w:left w:w="105" w:type="dxa"/>
              <w:bottom w:w="0" w:type="dxa"/>
              <w:right w:w="105" w:type="dxa"/>
            </w:tcMar>
            <w:hideMark/>
          </w:tcPr>
          <w:p w:rsidR="009173E6" w:rsidRPr="009173E6" w:rsidRDefault="00C27FC3" w:rsidP="009173E6">
            <w:pPr>
              <w:widowControl/>
              <w:spacing w:line="330" w:lineRule="atLeast"/>
              <w:jc w:val="left"/>
              <w:rPr>
                <w:rFonts w:cs="宋体"/>
                <w:color w:val="333333"/>
                <w:kern w:val="0"/>
                <w:sz w:val="24"/>
                <w:szCs w:val="24"/>
              </w:rPr>
            </w:pPr>
            <w:r>
              <w:rPr>
                <w:rFonts w:ascii="Verdana" w:hAnsi="Verdana" w:cs="宋体"/>
                <w:color w:val="333333"/>
                <w:kern w:val="0"/>
                <w:sz w:val="24"/>
                <w:szCs w:val="24"/>
              </w:rPr>
              <w:t>Privilege  </w:t>
            </w:r>
            <w:r w:rsidR="009173E6" w:rsidRPr="009173E6">
              <w:rPr>
                <w:rFonts w:ascii="Verdana" w:hAnsi="Verdana" w:cs="宋体"/>
                <w:color w:val="333333"/>
                <w:kern w:val="0"/>
                <w:sz w:val="24"/>
                <w:szCs w:val="24"/>
              </w:rPr>
              <w:t>fee</w:t>
            </w:r>
            <w:r w:rsidR="009173E6" w:rsidRPr="009173E6">
              <w:rPr>
                <w:rFonts w:ascii="Verdana" w:hAnsi="Verdana" w:cs="宋体"/>
                <w:color w:val="333333"/>
                <w:kern w:val="0"/>
                <w:sz w:val="24"/>
                <w:szCs w:val="24"/>
              </w:rPr>
              <w:br/>
              <w:t>  Health, student newspaper, recreation complex and other items</w:t>
            </w:r>
          </w:p>
        </w:tc>
        <w:tc>
          <w:tcPr>
            <w:tcW w:w="3312" w:type="dxa"/>
            <w:tcMar>
              <w:top w:w="0" w:type="dxa"/>
              <w:left w:w="105" w:type="dxa"/>
              <w:bottom w:w="0" w:type="dxa"/>
              <w:right w:w="105" w:type="dxa"/>
            </w:tcMar>
            <w:hideMark/>
          </w:tcPr>
          <w:p w:rsidR="009173E6" w:rsidRPr="009173E6" w:rsidRDefault="009173E6" w:rsidP="009173E6">
            <w:pPr>
              <w:widowControl/>
              <w:spacing w:line="330" w:lineRule="atLeast"/>
              <w:jc w:val="left"/>
              <w:rPr>
                <w:rFonts w:cs="宋体"/>
                <w:color w:val="333333"/>
                <w:kern w:val="0"/>
                <w:sz w:val="24"/>
                <w:szCs w:val="24"/>
              </w:rPr>
            </w:pPr>
            <w:r w:rsidRPr="009173E6">
              <w:rPr>
                <w:rFonts w:ascii="Verdana" w:hAnsi="Verdana" w:cs="宋体"/>
                <w:color w:val="333333"/>
                <w:kern w:val="0"/>
                <w:sz w:val="24"/>
                <w:szCs w:val="24"/>
              </w:rPr>
              <w:t>$862</w:t>
            </w:r>
            <w:r w:rsidRPr="009173E6">
              <w:rPr>
                <w:rFonts w:ascii="Verdana" w:hAnsi="Verdana" w:cs="宋体"/>
                <w:color w:val="333333"/>
                <w:kern w:val="0"/>
                <w:sz w:val="24"/>
                <w:szCs w:val="24"/>
              </w:rPr>
              <w:br/>
              <w:t>  (maximum for 12 or more hours)</w:t>
            </w:r>
          </w:p>
        </w:tc>
        <w:tc>
          <w:tcPr>
            <w:tcW w:w="3260" w:type="dxa"/>
            <w:tcMar>
              <w:top w:w="0" w:type="dxa"/>
              <w:left w:w="105" w:type="dxa"/>
              <w:bottom w:w="0" w:type="dxa"/>
              <w:right w:w="105" w:type="dxa"/>
            </w:tcMar>
            <w:hideMark/>
          </w:tcPr>
          <w:p w:rsidR="009173E6" w:rsidRPr="009173E6" w:rsidRDefault="009173E6" w:rsidP="009173E6">
            <w:pPr>
              <w:widowControl/>
              <w:spacing w:line="330" w:lineRule="atLeast"/>
              <w:jc w:val="left"/>
              <w:rPr>
                <w:rFonts w:cs="宋体"/>
                <w:color w:val="333333"/>
                <w:kern w:val="0"/>
                <w:sz w:val="24"/>
                <w:szCs w:val="24"/>
              </w:rPr>
            </w:pPr>
            <w:r w:rsidRPr="009173E6">
              <w:rPr>
                <w:rFonts w:ascii="Verdana" w:hAnsi="Verdana" w:cs="宋体"/>
                <w:color w:val="333333"/>
                <w:kern w:val="0"/>
                <w:sz w:val="24"/>
                <w:szCs w:val="24"/>
              </w:rPr>
              <w:t>$862</w:t>
            </w:r>
            <w:r w:rsidRPr="009173E6">
              <w:rPr>
                <w:rFonts w:ascii="Verdana" w:hAnsi="Verdana" w:cs="宋体"/>
                <w:color w:val="333333"/>
                <w:kern w:val="0"/>
                <w:sz w:val="24"/>
                <w:szCs w:val="24"/>
              </w:rPr>
              <w:br/>
              <w:t>  (maximum for 12 or more hours)</w:t>
            </w:r>
          </w:p>
        </w:tc>
      </w:tr>
    </w:tbl>
    <w:p w:rsidR="009173E6" w:rsidRPr="009173E6" w:rsidRDefault="009173E6" w:rsidP="009173E6">
      <w:pPr>
        <w:widowControl/>
        <w:spacing w:line="405" w:lineRule="atLeast"/>
        <w:ind w:left="360" w:right="150"/>
        <w:jc w:val="left"/>
        <w:rPr>
          <w:rFonts w:cs="宋体"/>
          <w:color w:val="333333"/>
          <w:kern w:val="0"/>
          <w:sz w:val="18"/>
          <w:szCs w:val="18"/>
        </w:rPr>
      </w:pPr>
      <w:r w:rsidRPr="009173E6">
        <w:rPr>
          <w:rFonts w:ascii="仿宋" w:eastAsia="仿宋" w:hAnsi="仿宋" w:cs="宋体" w:hint="eastAsia"/>
          <w:color w:val="333333"/>
          <w:kern w:val="0"/>
          <w:sz w:val="32"/>
          <w:szCs w:val="32"/>
        </w:rPr>
        <w:t>*相关费用链接：http://www.k-state.edu/admissions/finaid/</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*住宿费将根据各人所选的住宿中心和订餐计划不同而有所差别，具体可浏览该校网页http://www.k-state.edu/admissions/living/查询。</w:t>
      </w:r>
    </w:p>
    <w:p w:rsidR="009173E6" w:rsidRPr="009173E6" w:rsidRDefault="009173E6" w:rsidP="009173E6">
      <w:pPr>
        <w:widowControl/>
        <w:shd w:val="clear" w:color="auto" w:fill="FFFFFF"/>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2、学生须自行负担国际往返和当地交通、学费、住宿（我校学生须选择校内住宿）、膳食、KSU学生须缴纳的其他相关杂费、境外意外和医疗保险、离境前相关体检和疫苗注射以及其他有关的生活费用等。具体费用根据个人实际情况而不同，可登录</w:t>
      </w:r>
      <w:hyperlink r:id="rId7" w:history="1">
        <w:r w:rsidRPr="009173E6">
          <w:rPr>
            <w:rFonts w:ascii="仿宋" w:eastAsia="仿宋" w:hAnsi="仿宋" w:cs="宋体" w:hint="eastAsia"/>
            <w:color w:val="990000"/>
            <w:kern w:val="0"/>
            <w:sz w:val="32"/>
            <w:szCs w:val="32"/>
            <w:u w:val="single"/>
          </w:rPr>
          <w:t>www.k-state.edu</w:t>
        </w:r>
      </w:hyperlink>
      <w:r w:rsidRPr="009173E6">
        <w:rPr>
          <w:rFonts w:ascii="仿宋" w:eastAsia="仿宋" w:hAnsi="仿宋" w:cs="宋体" w:hint="eastAsia"/>
          <w:color w:val="333333"/>
          <w:kern w:val="0"/>
          <w:sz w:val="32"/>
          <w:szCs w:val="32"/>
        </w:rPr>
        <w:t>查询</w:t>
      </w:r>
      <w:r w:rsidRPr="009173E6">
        <w:rPr>
          <w:rFonts w:ascii="仿宋" w:eastAsia="仿宋" w:hAnsi="仿宋" w:cs="宋体" w:hint="eastAsia"/>
          <w:color w:val="333333"/>
          <w:kern w:val="0"/>
          <w:sz w:val="32"/>
          <w:szCs w:val="32"/>
        </w:rPr>
        <w:lastRenderedPageBreak/>
        <w:t>或者百度了解相关信息。（注：境外保险须覆盖学生自离境时起至交流学习结束返抵国内整个期间，如交流学习的院校只接受抵达后在当地购买的保险，则我校学生须另行购买短期的境外意外和医疗保险，以覆盖离境时至当地购买的保险生效前这一期间的保险事宜。）</w:t>
      </w:r>
    </w:p>
    <w:p w:rsidR="009173E6" w:rsidRPr="009173E6" w:rsidRDefault="009173E6" w:rsidP="009173E6">
      <w:pPr>
        <w:widowControl/>
        <w:shd w:val="clear" w:color="auto" w:fill="FFFFFF"/>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3、学生通过选拔后须向KSU缴纳申请费80美金，该费用不管申请者是否被KSU录取，均不退还。学生获得KSU录取后申请美国签证前需向美国相关部门缴纳美国学生系统登记费SEVIS200元美金、美国学生签证费160元美金。以上费用不管签证是否通过，均不退还。</w:t>
      </w:r>
    </w:p>
    <w:p w:rsidR="009173E6" w:rsidRPr="009173E6" w:rsidRDefault="009173E6" w:rsidP="009173E6">
      <w:pPr>
        <w:widowControl/>
        <w:shd w:val="clear" w:color="auto" w:fill="FFFFFF"/>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4、根据申请入学和签证要求，学生在入选后须冻结资金约15-20万人民币3-6个月，学生家庭须准备必要的流动资金人民币数万元，在该冻结资金解冻前用于签证申请、购买机票、体检和注射疫苗、购买保险、预付学费和住宿费等开销。</w:t>
      </w:r>
    </w:p>
    <w:p w:rsidR="009173E6" w:rsidRPr="009173E6" w:rsidRDefault="009173E6" w:rsidP="009173E6">
      <w:pPr>
        <w:widowControl/>
        <w:shd w:val="clear" w:color="auto" w:fill="FFFFFF"/>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5、学生赴美学习期</w:t>
      </w:r>
      <w:r w:rsidR="004D56CA">
        <w:rPr>
          <w:rFonts w:ascii="仿宋" w:eastAsia="仿宋" w:hAnsi="仿宋" w:cs="宋体" w:hint="eastAsia"/>
          <w:color w:val="333333"/>
          <w:kern w:val="0"/>
          <w:sz w:val="32"/>
          <w:szCs w:val="32"/>
        </w:rPr>
        <w:t>间应如期正常缴纳华师的学费。华师的住宿按照宿管中心的规定办理相关</w:t>
      </w:r>
      <w:r w:rsidRPr="009173E6">
        <w:rPr>
          <w:rFonts w:ascii="仿宋" w:eastAsia="仿宋" w:hAnsi="仿宋" w:cs="宋体" w:hint="eastAsia"/>
          <w:color w:val="333333"/>
          <w:kern w:val="0"/>
          <w:sz w:val="32"/>
          <w:szCs w:val="32"/>
        </w:rPr>
        <w:t>手续。</w:t>
      </w:r>
    </w:p>
    <w:p w:rsidR="009173E6" w:rsidRPr="009173E6" w:rsidRDefault="009173E6" w:rsidP="009173E6">
      <w:pPr>
        <w:widowControl/>
        <w:spacing w:line="405" w:lineRule="atLeast"/>
        <w:ind w:left="420" w:right="150"/>
        <w:jc w:val="left"/>
        <w:rPr>
          <w:rFonts w:cs="宋体"/>
          <w:color w:val="333333"/>
          <w:kern w:val="0"/>
          <w:sz w:val="18"/>
          <w:szCs w:val="18"/>
        </w:rPr>
      </w:pPr>
      <w:r w:rsidRPr="009173E6">
        <w:rPr>
          <w:rFonts w:ascii="仿宋" w:eastAsia="仿宋" w:hAnsi="仿宋" w:cs="宋体" w:hint="eastAsia"/>
          <w:color w:val="333333"/>
          <w:kern w:val="0"/>
          <w:sz w:val="32"/>
          <w:szCs w:val="32"/>
        </w:rPr>
        <w:t>六、</w:t>
      </w:r>
      <w:r w:rsidRPr="009173E6">
        <w:rPr>
          <w:rFonts w:ascii="Times New Roman" w:eastAsia="仿宋" w:hAnsi="Times New Roman" w:cs="Times New Roman"/>
          <w:color w:val="333333"/>
          <w:kern w:val="0"/>
          <w:sz w:val="14"/>
          <w:szCs w:val="14"/>
        </w:rPr>
        <w:t>   </w:t>
      </w:r>
      <w:r w:rsidRPr="009173E6">
        <w:rPr>
          <w:rFonts w:ascii="仿宋" w:eastAsia="仿宋" w:hAnsi="仿宋" w:cs="宋体" w:hint="eastAsia"/>
          <w:color w:val="333333"/>
          <w:kern w:val="0"/>
          <w:sz w:val="32"/>
          <w:szCs w:val="32"/>
        </w:rPr>
        <w:t>报名所需材料</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1.</w:t>
      </w:r>
      <w:hyperlink r:id="rId8" w:tooltip="华南师范大学境外校际交换生报名表【新】.doc" w:history="1">
        <w:r w:rsidRPr="009173E6">
          <w:rPr>
            <w:rFonts w:cs="宋体" w:hint="eastAsia"/>
            <w:color w:val="990000"/>
            <w:kern w:val="0"/>
            <w:sz w:val="24"/>
            <w:szCs w:val="24"/>
            <w:u w:val="single"/>
          </w:rPr>
          <w:t>华南师范大学境外校际交换生报名表</w:t>
        </w:r>
        <w:r w:rsidR="00691F00">
          <w:rPr>
            <w:rFonts w:cs="宋体" w:hint="eastAsia"/>
            <w:color w:val="990000"/>
            <w:kern w:val="0"/>
            <w:sz w:val="24"/>
            <w:szCs w:val="24"/>
            <w:u w:val="single"/>
          </w:rPr>
          <w:t>（本科生</w:t>
        </w:r>
        <w:bookmarkStart w:id="0" w:name="_GoBack"/>
        <w:bookmarkEnd w:id="0"/>
        <w:r w:rsidR="00691F00">
          <w:rPr>
            <w:rFonts w:cs="宋体" w:hint="eastAsia"/>
            <w:color w:val="990000"/>
            <w:kern w:val="0"/>
            <w:sz w:val="24"/>
            <w:szCs w:val="24"/>
            <w:u w:val="single"/>
          </w:rPr>
          <w:t>）</w:t>
        </w:r>
        <w:r w:rsidRPr="009173E6">
          <w:rPr>
            <w:rFonts w:cs="宋体" w:hint="eastAsia"/>
            <w:color w:val="990000"/>
            <w:kern w:val="0"/>
            <w:sz w:val="24"/>
            <w:szCs w:val="24"/>
            <w:u w:val="single"/>
          </w:rPr>
          <w:t>.doc</w:t>
        </w:r>
      </w:hyperlink>
      <w:r w:rsidRPr="009173E6">
        <w:rPr>
          <w:rFonts w:ascii="仿宋" w:eastAsia="仿宋" w:hAnsi="仿宋" w:cs="宋体" w:hint="eastAsia"/>
          <w:color w:val="333333"/>
          <w:kern w:val="0"/>
          <w:sz w:val="32"/>
          <w:szCs w:val="32"/>
        </w:rPr>
        <w:t>（点击下载）</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2.加盖公章的成绩单（中英文）</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lastRenderedPageBreak/>
        <w:t>3.英语成绩证明复印件（大学英语四六级、有效托福或雅思成绩，如果没有参加英语四、六级以及托福、雅思考试，则无需提交）</w:t>
      </w:r>
    </w:p>
    <w:p w:rsidR="009173E6" w:rsidRPr="009173E6" w:rsidRDefault="009173E6" w:rsidP="009173E6">
      <w:pPr>
        <w:widowControl/>
        <w:spacing w:line="405" w:lineRule="atLeast"/>
        <w:ind w:left="300" w:right="150"/>
        <w:jc w:val="left"/>
        <w:rPr>
          <w:rFonts w:cs="宋体"/>
          <w:color w:val="333333"/>
          <w:kern w:val="0"/>
          <w:sz w:val="18"/>
          <w:szCs w:val="18"/>
        </w:rPr>
      </w:pPr>
      <w:r w:rsidRPr="009173E6">
        <w:rPr>
          <w:rFonts w:ascii="仿宋" w:eastAsia="仿宋" w:hAnsi="仿宋" w:cs="宋体" w:hint="eastAsia"/>
          <w:color w:val="333333"/>
          <w:kern w:val="0"/>
          <w:sz w:val="32"/>
          <w:szCs w:val="32"/>
        </w:rPr>
        <w:t>4.其他有助于推荐自己的材料</w:t>
      </w:r>
    </w:p>
    <w:p w:rsidR="00122ECD" w:rsidRDefault="009173E6" w:rsidP="00122ECD">
      <w:pPr>
        <w:widowControl/>
        <w:spacing w:line="375" w:lineRule="atLeast"/>
        <w:ind w:left="300" w:right="150" w:firstLine="645"/>
        <w:jc w:val="left"/>
        <w:rPr>
          <w:rFonts w:ascii="仿宋" w:eastAsia="仿宋" w:hAnsi="仿宋" w:cs="宋体"/>
          <w:b/>
          <w:bCs/>
          <w:color w:val="333333"/>
          <w:kern w:val="0"/>
          <w:sz w:val="32"/>
          <w:szCs w:val="32"/>
          <w:u w:val="single"/>
        </w:rPr>
      </w:pPr>
      <w:r w:rsidRPr="009173E6">
        <w:rPr>
          <w:rFonts w:ascii="Calibri" w:eastAsia="仿宋" w:hAnsi="Calibri" w:cs="Calibri"/>
          <w:color w:val="333333"/>
          <w:kern w:val="0"/>
          <w:sz w:val="32"/>
          <w:szCs w:val="32"/>
        </w:rPr>
        <w:t> </w:t>
      </w:r>
      <w:r w:rsidR="00122ECD" w:rsidRPr="00762223">
        <w:rPr>
          <w:rFonts w:ascii="仿宋" w:eastAsia="仿宋" w:hAnsi="仿宋" w:cs="宋体" w:hint="eastAsia"/>
          <w:bCs/>
          <w:color w:val="333333"/>
          <w:kern w:val="0"/>
          <w:sz w:val="32"/>
          <w:szCs w:val="32"/>
        </w:rPr>
        <w:t>请有兴趣参加此项目的学生于</w:t>
      </w:r>
      <w:r w:rsidR="00122ECD">
        <w:rPr>
          <w:rFonts w:ascii="仿宋" w:eastAsia="仿宋" w:hAnsi="仿宋" w:cs="宋体" w:hint="eastAsia"/>
          <w:b/>
          <w:bCs/>
          <w:color w:val="333333"/>
          <w:kern w:val="0"/>
          <w:sz w:val="32"/>
          <w:szCs w:val="32"/>
          <w:u w:val="single"/>
        </w:rPr>
        <w:t>9</w:t>
      </w:r>
      <w:r w:rsidR="00122ECD" w:rsidRPr="00475C57">
        <w:rPr>
          <w:rFonts w:ascii="仿宋" w:eastAsia="仿宋" w:hAnsi="仿宋" w:cs="宋体" w:hint="eastAsia"/>
          <w:b/>
          <w:bCs/>
          <w:color w:val="333333"/>
          <w:kern w:val="0"/>
          <w:sz w:val="32"/>
          <w:szCs w:val="32"/>
          <w:u w:val="single"/>
        </w:rPr>
        <w:t>月</w:t>
      </w:r>
      <w:r w:rsidR="00746AC2">
        <w:rPr>
          <w:rFonts w:ascii="仿宋" w:eastAsia="仿宋" w:hAnsi="仿宋" w:cs="宋体" w:hint="eastAsia"/>
          <w:b/>
          <w:bCs/>
          <w:color w:val="333333"/>
          <w:kern w:val="0"/>
          <w:sz w:val="32"/>
          <w:szCs w:val="32"/>
          <w:u w:val="single"/>
        </w:rPr>
        <w:t>2</w:t>
      </w:r>
      <w:r w:rsidR="006B5645">
        <w:rPr>
          <w:rFonts w:ascii="仿宋" w:eastAsia="仿宋" w:hAnsi="仿宋" w:cs="宋体"/>
          <w:b/>
          <w:bCs/>
          <w:color w:val="333333"/>
          <w:kern w:val="0"/>
          <w:sz w:val="32"/>
          <w:szCs w:val="32"/>
          <w:u w:val="single"/>
        </w:rPr>
        <w:t>6</w:t>
      </w:r>
      <w:r w:rsidR="006B5645">
        <w:rPr>
          <w:rFonts w:ascii="仿宋" w:eastAsia="仿宋" w:hAnsi="仿宋" w:cs="宋体" w:hint="eastAsia"/>
          <w:b/>
          <w:bCs/>
          <w:color w:val="333333"/>
          <w:kern w:val="0"/>
          <w:sz w:val="32"/>
          <w:szCs w:val="32"/>
          <w:u w:val="single"/>
        </w:rPr>
        <w:t>日（星期三）下</w:t>
      </w:r>
      <w:r w:rsidR="00122ECD" w:rsidRPr="00475C57">
        <w:rPr>
          <w:rFonts w:ascii="仿宋" w:eastAsia="仿宋" w:hAnsi="仿宋" w:cs="宋体" w:hint="eastAsia"/>
          <w:b/>
          <w:bCs/>
          <w:color w:val="333333"/>
          <w:kern w:val="0"/>
          <w:sz w:val="32"/>
          <w:szCs w:val="32"/>
          <w:u w:val="single"/>
        </w:rPr>
        <w:t>午</w:t>
      </w:r>
      <w:r w:rsidR="006B5645">
        <w:rPr>
          <w:rFonts w:ascii="仿宋" w:eastAsia="仿宋" w:hAnsi="仿宋" w:cs="宋体" w:hint="eastAsia"/>
          <w:b/>
          <w:bCs/>
          <w:color w:val="333333"/>
          <w:kern w:val="0"/>
          <w:sz w:val="32"/>
          <w:szCs w:val="32"/>
          <w:u w:val="single"/>
        </w:rPr>
        <w:t>5</w:t>
      </w:r>
      <w:r w:rsidR="00122ECD" w:rsidRPr="00475C57">
        <w:rPr>
          <w:rFonts w:ascii="仿宋" w:eastAsia="仿宋" w:hAnsi="仿宋" w:cs="宋体" w:hint="eastAsia"/>
          <w:b/>
          <w:bCs/>
          <w:color w:val="333333"/>
          <w:kern w:val="0"/>
          <w:sz w:val="32"/>
          <w:szCs w:val="32"/>
          <w:u w:val="single"/>
        </w:rPr>
        <w:t>：00前</w:t>
      </w:r>
      <w:r w:rsidR="00122ECD" w:rsidRPr="00762223">
        <w:rPr>
          <w:rFonts w:ascii="仿宋" w:eastAsia="仿宋" w:hAnsi="仿宋" w:cs="宋体" w:hint="eastAsia"/>
          <w:bCs/>
          <w:color w:val="333333"/>
          <w:kern w:val="0"/>
          <w:sz w:val="32"/>
          <w:szCs w:val="32"/>
        </w:rPr>
        <w:t>到石牌校区行政楼国际交流合作处615室报名填写有关信息并提交报名所需材料（</w:t>
      </w:r>
      <w:r w:rsidR="00122ECD" w:rsidRPr="00475C57">
        <w:rPr>
          <w:rFonts w:ascii="仿宋" w:eastAsia="仿宋" w:hAnsi="仿宋" w:cs="宋体" w:hint="eastAsia"/>
          <w:color w:val="333333"/>
          <w:kern w:val="0"/>
          <w:sz w:val="32"/>
          <w:szCs w:val="32"/>
        </w:rPr>
        <w:t>大学城校区和南海校区的同学请将报名材料扫描发送至scnuinternational@126.com，邮件主题格式“学院+年级+专业+姓名+报名参加项目名称）。</w:t>
      </w:r>
      <w:r w:rsidR="00122ECD" w:rsidRPr="00475C57">
        <w:rPr>
          <w:rFonts w:ascii="仿宋" w:eastAsia="仿宋" w:hAnsi="仿宋" w:cs="宋体" w:hint="eastAsia"/>
          <w:b/>
          <w:bCs/>
          <w:color w:val="333333"/>
          <w:kern w:val="0"/>
          <w:sz w:val="32"/>
          <w:szCs w:val="32"/>
          <w:u w:val="single"/>
        </w:rPr>
        <w:t>我处将于报名结束后根据报名情况组织选拔考试，时间初定于</w:t>
      </w:r>
      <w:r w:rsidR="00122ECD">
        <w:rPr>
          <w:rFonts w:ascii="仿宋" w:eastAsia="仿宋" w:hAnsi="仿宋" w:cs="宋体" w:hint="eastAsia"/>
          <w:b/>
          <w:bCs/>
          <w:color w:val="333333"/>
          <w:kern w:val="0"/>
          <w:sz w:val="32"/>
          <w:szCs w:val="32"/>
          <w:u w:val="single"/>
        </w:rPr>
        <w:t>9</w:t>
      </w:r>
      <w:r w:rsidR="00122ECD" w:rsidRPr="00475C57">
        <w:rPr>
          <w:rFonts w:ascii="仿宋" w:eastAsia="仿宋" w:hAnsi="仿宋" w:cs="宋体" w:hint="eastAsia"/>
          <w:b/>
          <w:bCs/>
          <w:color w:val="333333"/>
          <w:kern w:val="0"/>
          <w:sz w:val="32"/>
          <w:szCs w:val="32"/>
          <w:u w:val="single"/>
        </w:rPr>
        <w:t>月</w:t>
      </w:r>
      <w:r w:rsidR="00122ECD">
        <w:rPr>
          <w:rFonts w:ascii="仿宋" w:eastAsia="仿宋" w:hAnsi="仿宋" w:cs="宋体" w:hint="eastAsia"/>
          <w:b/>
          <w:bCs/>
          <w:color w:val="333333"/>
          <w:kern w:val="0"/>
          <w:sz w:val="32"/>
          <w:szCs w:val="32"/>
          <w:u w:val="single"/>
        </w:rPr>
        <w:t>27</w:t>
      </w:r>
      <w:r w:rsidR="00122ECD" w:rsidRPr="00475C57">
        <w:rPr>
          <w:rFonts w:ascii="仿宋" w:eastAsia="仿宋" w:hAnsi="仿宋" w:cs="宋体" w:hint="eastAsia"/>
          <w:b/>
          <w:bCs/>
          <w:color w:val="333333"/>
          <w:kern w:val="0"/>
          <w:sz w:val="32"/>
          <w:szCs w:val="32"/>
          <w:u w:val="single"/>
        </w:rPr>
        <w:t>日（周四）下午具体考试时间和地点另行网上通知，请密切留意学校主页上的部处通知、国际交流合作处主页和微信公众号（华南师大国际交流SCNUGLOBAL）上的通知，我处不再另行电话或电邮通知。未按时参加考试的视为自动弃权，不再另行安排考试。</w:t>
      </w:r>
    </w:p>
    <w:p w:rsidR="009173E6" w:rsidRPr="009173E6" w:rsidRDefault="009173E6" w:rsidP="009173E6">
      <w:pPr>
        <w:widowControl/>
        <w:spacing w:line="495" w:lineRule="atLeast"/>
        <w:ind w:left="300" w:right="150" w:firstLine="645"/>
        <w:jc w:val="left"/>
        <w:rPr>
          <w:rFonts w:cs="宋体"/>
          <w:color w:val="333333"/>
          <w:kern w:val="0"/>
          <w:sz w:val="18"/>
          <w:szCs w:val="18"/>
        </w:rPr>
      </w:pPr>
      <w:r w:rsidRPr="009173E6">
        <w:rPr>
          <w:rFonts w:ascii="仿宋" w:eastAsia="仿宋" w:hAnsi="仿宋" w:cs="宋体" w:hint="eastAsia"/>
          <w:color w:val="333333"/>
          <w:kern w:val="0"/>
          <w:sz w:val="32"/>
          <w:szCs w:val="32"/>
        </w:rPr>
        <w:t>温馨提示：为了保证入学手续能及时办理，有兴趣参加此项目的学生，可尽快前往本人户口所在地公安局或广州市公安局天河分局办理个人因私护照（费用自理），详情请咨询学校保卫处户籍管理科。</w:t>
      </w:r>
    </w:p>
    <w:p w:rsidR="009B433F" w:rsidRPr="009173E6" w:rsidRDefault="009B433F"/>
    <w:sectPr w:rsidR="009B433F" w:rsidRPr="00917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C6" w:rsidRDefault="003A10C6" w:rsidP="003D4D09">
      <w:r>
        <w:separator/>
      </w:r>
    </w:p>
  </w:endnote>
  <w:endnote w:type="continuationSeparator" w:id="0">
    <w:p w:rsidR="003A10C6" w:rsidRDefault="003A10C6" w:rsidP="003D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C6" w:rsidRDefault="003A10C6" w:rsidP="003D4D09">
      <w:r>
        <w:separator/>
      </w:r>
    </w:p>
  </w:footnote>
  <w:footnote w:type="continuationSeparator" w:id="0">
    <w:p w:rsidR="003A10C6" w:rsidRDefault="003A10C6" w:rsidP="003D4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E"/>
    <w:rsid w:val="0007312C"/>
    <w:rsid w:val="00122ECD"/>
    <w:rsid w:val="00172855"/>
    <w:rsid w:val="00214EAB"/>
    <w:rsid w:val="00281D2D"/>
    <w:rsid w:val="002955EF"/>
    <w:rsid w:val="003A10C6"/>
    <w:rsid w:val="003C0AAB"/>
    <w:rsid w:val="003D4D09"/>
    <w:rsid w:val="004025B1"/>
    <w:rsid w:val="0041362E"/>
    <w:rsid w:val="00451AA8"/>
    <w:rsid w:val="004D56CA"/>
    <w:rsid w:val="00533405"/>
    <w:rsid w:val="00541C63"/>
    <w:rsid w:val="00563831"/>
    <w:rsid w:val="005A1FE7"/>
    <w:rsid w:val="00691F00"/>
    <w:rsid w:val="00692BF4"/>
    <w:rsid w:val="006B5645"/>
    <w:rsid w:val="00746AC2"/>
    <w:rsid w:val="007C3844"/>
    <w:rsid w:val="009173E6"/>
    <w:rsid w:val="009B433F"/>
    <w:rsid w:val="00A67AE5"/>
    <w:rsid w:val="00C207D4"/>
    <w:rsid w:val="00C27FC3"/>
    <w:rsid w:val="00C9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E889A"/>
  <w15:chartTrackingRefBased/>
  <w15:docId w15:val="{64944C3E-B4F7-4957-B647-305EC63E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color w:val="FF0000"/>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3E6"/>
    <w:pPr>
      <w:widowControl/>
      <w:spacing w:before="100" w:beforeAutospacing="1" w:after="100" w:afterAutospacing="1"/>
      <w:jc w:val="left"/>
    </w:pPr>
    <w:rPr>
      <w:rFonts w:cs="宋体"/>
      <w:color w:val="auto"/>
      <w:kern w:val="0"/>
      <w:sz w:val="24"/>
      <w:szCs w:val="24"/>
    </w:rPr>
  </w:style>
  <w:style w:type="character" w:styleId="a4">
    <w:name w:val="Hyperlink"/>
    <w:basedOn w:val="a0"/>
    <w:uiPriority w:val="99"/>
    <w:semiHidden/>
    <w:unhideWhenUsed/>
    <w:rsid w:val="009173E6"/>
    <w:rPr>
      <w:color w:val="0000FF"/>
      <w:u w:val="single"/>
    </w:rPr>
  </w:style>
  <w:style w:type="character" w:customStyle="1" w:styleId="apple-converted-space">
    <w:name w:val="apple-converted-space"/>
    <w:basedOn w:val="a0"/>
    <w:rsid w:val="009173E6"/>
  </w:style>
  <w:style w:type="character" w:styleId="a5">
    <w:name w:val="Strong"/>
    <w:basedOn w:val="a0"/>
    <w:uiPriority w:val="22"/>
    <w:qFormat/>
    <w:rsid w:val="009173E6"/>
    <w:rPr>
      <w:b/>
      <w:bCs/>
    </w:rPr>
  </w:style>
  <w:style w:type="paragraph" w:styleId="a6">
    <w:name w:val="header"/>
    <w:basedOn w:val="a"/>
    <w:link w:val="a7"/>
    <w:uiPriority w:val="99"/>
    <w:unhideWhenUsed/>
    <w:rsid w:val="003D4D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D4D09"/>
    <w:rPr>
      <w:sz w:val="18"/>
      <w:szCs w:val="18"/>
    </w:rPr>
  </w:style>
  <w:style w:type="paragraph" w:styleId="a8">
    <w:name w:val="footer"/>
    <w:basedOn w:val="a"/>
    <w:link w:val="a9"/>
    <w:uiPriority w:val="99"/>
    <w:unhideWhenUsed/>
    <w:rsid w:val="003D4D09"/>
    <w:pPr>
      <w:tabs>
        <w:tab w:val="center" w:pos="4153"/>
        <w:tab w:val="right" w:pos="8306"/>
      </w:tabs>
      <w:snapToGrid w:val="0"/>
      <w:jc w:val="left"/>
    </w:pPr>
    <w:rPr>
      <w:sz w:val="18"/>
      <w:szCs w:val="18"/>
    </w:rPr>
  </w:style>
  <w:style w:type="character" w:customStyle="1" w:styleId="a9">
    <w:name w:val="页脚 字符"/>
    <w:basedOn w:val="a0"/>
    <w:link w:val="a8"/>
    <w:uiPriority w:val="99"/>
    <w:rsid w:val="003D4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5800">
      <w:bodyDiv w:val="1"/>
      <w:marLeft w:val="0"/>
      <w:marRight w:val="0"/>
      <w:marTop w:val="0"/>
      <w:marBottom w:val="0"/>
      <w:divBdr>
        <w:top w:val="none" w:sz="0" w:space="0" w:color="auto"/>
        <w:left w:val="none" w:sz="0" w:space="0" w:color="auto"/>
        <w:bottom w:val="none" w:sz="0" w:space="0" w:color="auto"/>
        <w:right w:val="none" w:sz="0" w:space="0" w:color="auto"/>
      </w:divBdr>
      <w:divsChild>
        <w:div w:id="1049691688">
          <w:marLeft w:val="0"/>
          <w:marRight w:val="450"/>
          <w:marTop w:val="0"/>
          <w:marBottom w:val="0"/>
          <w:divBdr>
            <w:top w:val="none" w:sz="0" w:space="0" w:color="auto"/>
            <w:left w:val="none" w:sz="0" w:space="0" w:color="auto"/>
            <w:bottom w:val="none" w:sz="0" w:space="0" w:color="auto"/>
            <w:right w:val="none" w:sz="0" w:space="0" w:color="auto"/>
          </w:divBdr>
        </w:div>
        <w:div w:id="66756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scnu.edu.cn/pics/io/2018/0305/1520237050795055.doc" TargetMode="External"/><Relationship Id="rId3" Type="http://schemas.openxmlformats.org/officeDocument/2006/relationships/webSettings" Target="webSettings.xml"/><Relationship Id="rId7" Type="http://schemas.openxmlformats.org/officeDocument/2006/relationships/hyperlink" Target="http://www.k-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dc:creator>
  <cp:keywords/>
  <dc:description/>
  <cp:lastModifiedBy>黄欣丽</cp:lastModifiedBy>
  <cp:revision>19</cp:revision>
  <dcterms:created xsi:type="dcterms:W3CDTF">2018-09-05T00:20:00Z</dcterms:created>
  <dcterms:modified xsi:type="dcterms:W3CDTF">2018-09-19T08:14:00Z</dcterms:modified>
</cp:coreProperties>
</file>