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cs="宋体"/>
          <w:bCs w:val="0"/>
        </w:rPr>
      </w:pPr>
      <w:bookmarkStart w:id="1" w:name="_GoBack"/>
      <w:bookmarkEnd w:id="1"/>
      <w:bookmarkStart w:id="0" w:name="_Toc6239177"/>
      <w:r>
        <w:rPr>
          <w:rFonts w:hint="eastAsia" w:ascii="黑体" w:hAnsi="黑体" w:eastAsia="黑体" w:cs="宋体"/>
          <w:bCs w:val="0"/>
        </w:rPr>
        <w:t>华南师范大学法学院本科毕业论文格式规范</w:t>
      </w:r>
      <w:bookmarkEnd w:id="0"/>
    </w:p>
    <w:p>
      <w:pPr>
        <w:ind w:right="1048" w:rightChars="499"/>
        <w:jc w:val="center"/>
        <w:rPr>
          <w:rFonts w:ascii="宋体" w:hAnsi="宋体"/>
          <w:szCs w:val="21"/>
        </w:rPr>
      </w:pPr>
    </w:p>
    <w:p>
      <w:pPr>
        <w:tabs>
          <w:tab w:val="left" w:pos="9180"/>
        </w:tabs>
        <w:spacing w:line="300" w:lineRule="auto"/>
        <w:ind w:firstLine="480" w:firstLineChars="200"/>
        <w:rPr>
          <w:rFonts w:ascii="宋体" w:hAnsi="宋体"/>
          <w:b/>
          <w:szCs w:val="21"/>
        </w:rPr>
      </w:pPr>
      <w:r>
        <w:rPr>
          <w:rFonts w:hint="eastAsia" w:ascii="宋体" w:hAnsi="宋体"/>
          <w:sz w:val="24"/>
        </w:rPr>
        <w:t>为提高法学院本科毕业论文质量，根据《华南师范大学本科生毕业论文（设计）管理办法》以及《华南师范大学本科生毕业论文（设计）撰写基本规范》的规定，特制定本规范。</w:t>
      </w:r>
    </w:p>
    <w:p>
      <w:pPr>
        <w:spacing w:before="240" w:beforeLines="100" w:after="120" w:afterLines="50" w:line="300" w:lineRule="auto"/>
        <w:ind w:firstLine="723" w:firstLineChars="200"/>
        <w:jc w:val="center"/>
        <w:rPr>
          <w:rFonts w:ascii="黑体" w:hAnsi="宋体" w:eastAsia="黑体"/>
          <w:b/>
          <w:sz w:val="36"/>
          <w:szCs w:val="36"/>
        </w:rPr>
      </w:pPr>
      <w:r>
        <w:rPr>
          <w:rFonts w:hint="eastAsia" w:ascii="黑体" w:hAnsi="宋体" w:eastAsia="黑体"/>
          <w:b/>
          <w:sz w:val="36"/>
          <w:szCs w:val="36"/>
        </w:rPr>
        <w:t>一、装订顺序及各部分要求</w:t>
      </w:r>
    </w:p>
    <w:p>
      <w:pPr>
        <w:spacing w:line="300" w:lineRule="auto"/>
        <w:ind w:firstLine="480" w:firstLineChars="200"/>
        <w:rPr>
          <w:rFonts w:ascii="宋体" w:hAnsi="宋体"/>
          <w:sz w:val="24"/>
        </w:rPr>
      </w:pPr>
      <w:r>
        <w:rPr>
          <w:rFonts w:hint="eastAsia" w:ascii="宋体" w:hAnsi="宋体"/>
          <w:sz w:val="24"/>
        </w:rPr>
        <w:t>毕业论文应包括以下几个部分：</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（一）封面</w:t>
      </w:r>
    </w:p>
    <w:p>
      <w:pPr>
        <w:spacing w:line="300" w:lineRule="auto"/>
        <w:ind w:firstLine="480" w:firstLineChars="200"/>
        <w:rPr>
          <w:rFonts w:ascii="宋体" w:hAnsi="宋体"/>
          <w:sz w:val="24"/>
        </w:rPr>
      </w:pPr>
      <w:r>
        <w:rPr>
          <w:rFonts w:hint="eastAsia" w:ascii="宋体" w:hAnsi="宋体"/>
          <w:sz w:val="24"/>
        </w:rPr>
        <w:t>封面由学校统一印制。</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（二）中外文摘要及关键词</w:t>
      </w:r>
    </w:p>
    <w:p>
      <w:pPr>
        <w:spacing w:line="300" w:lineRule="auto"/>
        <w:ind w:firstLine="480" w:firstLineChars="200"/>
        <w:rPr>
          <w:rFonts w:ascii="宋体" w:hAnsi="宋体"/>
          <w:sz w:val="24"/>
        </w:rPr>
      </w:pPr>
      <w:r>
        <w:rPr>
          <w:rFonts w:hint="eastAsia" w:ascii="宋体" w:hAnsi="宋体"/>
          <w:sz w:val="24"/>
        </w:rPr>
        <w:t>摘要应当说明论文主要内容，尤其是作者个人主要观点。摘要应重点突出，层次鲜明，逻辑严密。中文摘要一般为不多于500 字。外文摘要可根据中文摘要内容翻译。</w:t>
      </w:r>
    </w:p>
    <w:p>
      <w:pPr>
        <w:tabs>
          <w:tab w:val="left" w:pos="9180"/>
        </w:tabs>
        <w:spacing w:line="300" w:lineRule="auto"/>
        <w:ind w:firstLine="480" w:firstLineChars="200"/>
        <w:rPr>
          <w:rFonts w:ascii="宋体" w:hAnsi="宋体"/>
          <w:sz w:val="24"/>
        </w:rPr>
      </w:pPr>
      <w:r>
        <w:rPr>
          <w:rFonts w:hint="eastAsia" w:ascii="宋体" w:hAnsi="宋体"/>
          <w:sz w:val="24"/>
        </w:rPr>
        <w:t>关键词是反映毕业论文主题内容的词汇，供检索使用。关键词一般为3至5个。</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（三）目录</w:t>
      </w:r>
    </w:p>
    <w:p>
      <w:pPr>
        <w:spacing w:line="300" w:lineRule="auto"/>
        <w:ind w:firstLine="480" w:firstLineChars="200"/>
        <w:rPr>
          <w:rFonts w:ascii="宋体" w:hAnsi="宋体"/>
          <w:sz w:val="24"/>
        </w:rPr>
      </w:pPr>
      <w:r>
        <w:rPr>
          <w:rFonts w:hint="eastAsia" w:ascii="宋体" w:hAnsi="宋体"/>
          <w:sz w:val="24"/>
        </w:rPr>
        <w:t>目录要与正文一致。至少应包括一级标题和二级标题，并应包括参考文献。</w:t>
      </w:r>
    </w:p>
    <w:p>
      <w:pPr>
        <w:spacing w:line="300" w:lineRule="auto"/>
        <w:ind w:firstLine="480" w:firstLineChars="200"/>
        <w:rPr>
          <w:rFonts w:ascii="宋体" w:hAnsi="宋体"/>
          <w:sz w:val="24"/>
        </w:rPr>
      </w:pPr>
      <w:r>
        <w:rPr>
          <w:rFonts w:hint="eastAsia" w:ascii="宋体" w:hAnsi="宋体"/>
          <w:sz w:val="24"/>
        </w:rPr>
        <w:t>中外文摘要及目录应当各自独立成页，页码使用罗马数字（Ⅰ、Ⅱ、Ⅲ...）连续编号。</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（四）正文和注释</w:t>
      </w:r>
    </w:p>
    <w:p>
      <w:pPr>
        <w:spacing w:line="300" w:lineRule="auto"/>
        <w:ind w:firstLine="480" w:firstLineChars="200"/>
        <w:rPr>
          <w:rFonts w:ascii="宋体" w:hAnsi="宋体"/>
          <w:sz w:val="24"/>
        </w:rPr>
      </w:pPr>
      <w:r>
        <w:rPr>
          <w:rFonts w:hint="eastAsia" w:ascii="宋体" w:hAnsi="宋体"/>
          <w:sz w:val="24"/>
        </w:rPr>
        <w:t>正文采用单面打印形式。</w:t>
      </w:r>
    </w:p>
    <w:p>
      <w:pPr>
        <w:spacing w:line="300" w:lineRule="auto"/>
        <w:ind w:firstLine="480" w:firstLineChars="200"/>
        <w:rPr>
          <w:rFonts w:ascii="宋体" w:hAnsi="宋体"/>
          <w:sz w:val="24"/>
        </w:rPr>
      </w:pPr>
      <w:r>
        <w:rPr>
          <w:rFonts w:hint="eastAsia" w:ascii="宋体" w:hAnsi="宋体"/>
          <w:sz w:val="24"/>
        </w:rPr>
        <w:t>毕业论文应使用注释。注释规范详见“</w:t>
      </w:r>
      <w:r>
        <w:rPr>
          <w:rFonts w:hint="eastAsia" w:ascii="宋体" w:hAnsi="宋体"/>
          <w:color w:val="FF0000"/>
          <w:sz w:val="24"/>
        </w:rPr>
        <w:t>《法学引注手册》</w:t>
      </w:r>
      <w:r>
        <w:rPr>
          <w:rFonts w:hint="eastAsia" w:ascii="宋体" w:hAnsi="宋体"/>
          <w:sz w:val="24"/>
        </w:rPr>
        <w:t>注释体例”。（附后）</w:t>
      </w:r>
    </w:p>
    <w:p>
      <w:pPr>
        <w:spacing w:line="300" w:lineRule="auto"/>
        <w:ind w:firstLine="480" w:firstLineChars="200"/>
        <w:rPr>
          <w:rFonts w:ascii="宋体" w:hAnsi="宋体"/>
          <w:sz w:val="24"/>
        </w:rPr>
      </w:pPr>
      <w:r>
        <w:rPr>
          <w:rFonts w:hint="eastAsia" w:ascii="宋体" w:hAnsi="宋体"/>
          <w:sz w:val="24"/>
        </w:rPr>
        <w:t>注释数量一般不少于15个。注释所引资料应当多样化，不得大量反复使用同一来源资料。</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（五）参考文献</w:t>
      </w:r>
    </w:p>
    <w:p>
      <w:pPr>
        <w:spacing w:line="300" w:lineRule="auto"/>
        <w:ind w:firstLine="480" w:firstLineChars="200"/>
        <w:rPr>
          <w:rFonts w:ascii="宋体" w:hAnsi="宋体"/>
          <w:sz w:val="24"/>
        </w:rPr>
      </w:pPr>
      <w:r>
        <w:rPr>
          <w:rFonts w:hint="eastAsia" w:ascii="宋体" w:hAnsi="宋体"/>
          <w:sz w:val="24"/>
        </w:rPr>
        <w:t>正文之后应列出参考文献，并独立成页。规范参照《</w:t>
      </w:r>
      <w:r>
        <w:rPr>
          <w:rFonts w:hint="eastAsia" w:ascii="宋体" w:hAnsi="宋体"/>
          <w:color w:val="FF0000"/>
          <w:sz w:val="24"/>
        </w:rPr>
        <w:t>法学引注手册</w:t>
      </w:r>
      <w:r>
        <w:rPr>
          <w:rFonts w:hint="eastAsia" w:ascii="宋体" w:hAnsi="宋体"/>
          <w:sz w:val="24"/>
        </w:rPr>
        <w:t>》注释体例，不须标注页码。参考文献一般不少于15个。</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（六）附录（如有附图的）</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（七）致谢（可选）</w:t>
      </w:r>
    </w:p>
    <w:p>
      <w:pPr>
        <w:spacing w:line="300" w:lineRule="auto"/>
        <w:ind w:firstLine="480" w:firstLineChars="200"/>
        <w:rPr>
          <w:rFonts w:ascii="宋体" w:hAnsi="宋体"/>
          <w:sz w:val="24"/>
        </w:rPr>
      </w:pPr>
      <w:r>
        <w:rPr>
          <w:rFonts w:hint="eastAsia" w:ascii="宋体" w:hAnsi="宋体"/>
          <w:sz w:val="24"/>
        </w:rPr>
        <w:t>作者可对导师和给予指导或协助完成毕业论文工作的组织和个人表示感谢。感谢文字要简捷、实事求是，忌浮夸庸俗。</w:t>
      </w:r>
    </w:p>
    <w:p>
      <w:pPr>
        <w:spacing w:before="120" w:beforeLines="50" w:after="120" w:afterLines="50" w:line="300" w:lineRule="auto"/>
        <w:ind w:firstLine="539" w:firstLineChars="179"/>
        <w:jc w:val="left"/>
        <w:rPr>
          <w:rFonts w:ascii="宋体" w:hAnsi="宋体"/>
          <w:b/>
          <w:sz w:val="30"/>
          <w:szCs w:val="30"/>
        </w:rPr>
      </w:pPr>
      <w:r>
        <w:rPr>
          <w:rFonts w:hint="eastAsia" w:ascii="宋体" w:hAnsi="宋体"/>
          <w:b/>
          <w:sz w:val="30"/>
          <w:szCs w:val="30"/>
        </w:rPr>
        <w:t xml:space="preserve"> (八)开题报告</w:t>
      </w:r>
    </w:p>
    <w:p>
      <w:pPr>
        <w:spacing w:before="120" w:beforeLines="50" w:after="120" w:afterLines="50" w:line="300" w:lineRule="auto"/>
        <w:ind w:firstLine="539" w:firstLineChars="179"/>
        <w:jc w:val="left"/>
        <w:rPr>
          <w:rFonts w:ascii="宋体" w:hAnsi="宋体"/>
          <w:b/>
          <w:sz w:val="30"/>
          <w:szCs w:val="30"/>
        </w:rPr>
      </w:pPr>
      <w:r>
        <w:rPr>
          <w:rFonts w:hint="eastAsia" w:ascii="宋体" w:hAnsi="宋体"/>
          <w:b/>
          <w:sz w:val="30"/>
          <w:szCs w:val="30"/>
        </w:rPr>
        <w:t>（九）毕业论文（设计）成绩评定表</w:t>
      </w:r>
    </w:p>
    <w:p>
      <w:pPr>
        <w:spacing w:before="120" w:beforeLines="50" w:after="120" w:afterLines="50" w:line="300" w:lineRule="auto"/>
        <w:ind w:firstLine="539" w:firstLineChars="179"/>
        <w:jc w:val="left"/>
        <w:rPr>
          <w:rFonts w:ascii="宋体" w:hAnsi="宋体"/>
          <w:b/>
          <w:sz w:val="30"/>
          <w:szCs w:val="30"/>
        </w:rPr>
      </w:pPr>
      <w:r>
        <w:rPr>
          <w:rFonts w:hint="eastAsia" w:ascii="宋体" w:hAnsi="宋体"/>
          <w:b/>
          <w:sz w:val="30"/>
          <w:szCs w:val="30"/>
        </w:rPr>
        <w:t>（十）评阅人评阅意见表</w:t>
      </w:r>
    </w:p>
    <w:p>
      <w:pPr>
        <w:spacing w:before="240" w:beforeLines="100" w:after="120" w:afterLines="50" w:line="300" w:lineRule="auto"/>
        <w:ind w:firstLine="723" w:firstLineChars="200"/>
        <w:jc w:val="center"/>
        <w:rPr>
          <w:rFonts w:ascii="黑体" w:hAnsi="宋体" w:eastAsia="黑体"/>
          <w:b/>
          <w:sz w:val="36"/>
          <w:szCs w:val="36"/>
        </w:rPr>
      </w:pPr>
      <w:r>
        <w:rPr>
          <w:rFonts w:hint="eastAsia" w:ascii="黑体" w:hAnsi="宋体" w:eastAsia="黑体"/>
          <w:b/>
          <w:sz w:val="36"/>
          <w:szCs w:val="36"/>
        </w:rPr>
        <w:t>二、语言文字及排版要求</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（一）文字</w:t>
      </w:r>
    </w:p>
    <w:p>
      <w:pPr>
        <w:spacing w:line="300" w:lineRule="auto"/>
        <w:ind w:firstLine="480" w:firstLineChars="200"/>
        <w:rPr>
          <w:rFonts w:ascii="宋体" w:hAnsi="宋体"/>
          <w:sz w:val="24"/>
        </w:rPr>
      </w:pPr>
      <w:r>
        <w:rPr>
          <w:rFonts w:hint="eastAsia" w:ascii="宋体" w:hAnsi="宋体"/>
          <w:sz w:val="24"/>
        </w:rPr>
        <w:t xml:space="preserve"> 毕业论文中汉字必须使用国家公布的规范字，所有文字字面清晰，不得涂改。</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（二）中文摘要及关键词</w:t>
      </w:r>
    </w:p>
    <w:p>
      <w:pPr>
        <w:spacing w:line="300" w:lineRule="auto"/>
        <w:ind w:firstLine="480" w:firstLineChars="200"/>
        <w:rPr>
          <w:rFonts w:ascii="宋体" w:hAnsi="宋体"/>
          <w:sz w:val="24"/>
        </w:rPr>
      </w:pPr>
      <w:r>
        <w:rPr>
          <w:rFonts w:hint="eastAsia" w:ascii="宋体" w:hAnsi="宋体"/>
          <w:sz w:val="24"/>
        </w:rPr>
        <w:t>“中文摘要”四字在第一行居中位置，使用小二号黑体字，加粗，段落格式同一级标题。摘要内容使用小四号宋体字，首行缩进2字符。</w:t>
      </w:r>
    </w:p>
    <w:p>
      <w:pPr>
        <w:spacing w:line="300" w:lineRule="auto"/>
        <w:ind w:firstLine="480" w:firstLineChars="200"/>
        <w:rPr>
          <w:rFonts w:ascii="宋体" w:hAnsi="宋体"/>
          <w:sz w:val="24"/>
        </w:rPr>
      </w:pPr>
      <w:r>
        <w:rPr>
          <w:rFonts w:hint="eastAsia" w:ascii="宋体" w:hAnsi="宋体"/>
          <w:sz w:val="24"/>
        </w:rPr>
        <w:t>“关键词：”接摘要内容打印，另起一行， 缩进2字符。各关键词之间用逗号隔开。</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（三）外文摘要及关键词</w:t>
      </w:r>
    </w:p>
    <w:p>
      <w:pPr>
        <w:spacing w:line="300" w:lineRule="auto"/>
        <w:ind w:firstLine="480" w:firstLineChars="200"/>
        <w:rPr>
          <w:rFonts w:ascii="宋体" w:hAnsi="宋体"/>
          <w:sz w:val="24"/>
        </w:rPr>
      </w:pPr>
      <w:r>
        <w:rPr>
          <w:rFonts w:hint="eastAsia" w:ascii="宋体" w:hAnsi="宋体"/>
          <w:sz w:val="24"/>
        </w:rPr>
        <w:t>“ABSTRACT”一词放在第一行居中位置，使用小二号黑体字，加粗，段落格式同一级标题。摘要内容使用小四号新罗马体（Times New Roman)，首行缩进2字符。一般不超过250个实词。</w:t>
      </w:r>
    </w:p>
    <w:p>
      <w:pPr>
        <w:spacing w:line="300" w:lineRule="auto"/>
        <w:ind w:firstLine="480" w:firstLineChars="200"/>
        <w:rPr>
          <w:rFonts w:ascii="宋体" w:hAnsi="宋体"/>
          <w:sz w:val="24"/>
        </w:rPr>
      </w:pPr>
      <w:r>
        <w:rPr>
          <w:rFonts w:hint="eastAsia" w:ascii="宋体" w:hAnsi="宋体"/>
          <w:sz w:val="24"/>
        </w:rPr>
        <w:t>“KEYWORDS:”另起一行， 缩进2字符。各关键词之间用逗号隔开。</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（四）目录</w:t>
      </w:r>
    </w:p>
    <w:p>
      <w:pPr>
        <w:spacing w:line="300" w:lineRule="auto"/>
        <w:ind w:firstLine="480" w:firstLineChars="200"/>
        <w:rPr>
          <w:rFonts w:ascii="宋体" w:hAnsi="宋体"/>
          <w:sz w:val="24"/>
        </w:rPr>
      </w:pPr>
      <w:r>
        <w:rPr>
          <w:rFonts w:hint="eastAsia" w:ascii="宋体" w:hAnsi="宋体"/>
          <w:sz w:val="24"/>
        </w:rPr>
        <w:t>“目录”两字在第一行居中，使用小二号黑体字，加粗，段落格式同一级标题。 目录内容采用自动生成，使用小四号宋体字，多倍行距（1.25倍）。</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（五）正文主体格式</w:t>
      </w:r>
    </w:p>
    <w:p>
      <w:pPr>
        <w:spacing w:line="300" w:lineRule="auto"/>
        <w:ind w:firstLine="420" w:firstLineChars="200"/>
        <w:rPr>
          <w:rFonts w:ascii="宋体" w:hAnsi="宋体"/>
          <w:sz w:val="24"/>
        </w:rPr>
      </w:pPr>
      <w:r>
        <w:rPr>
          <w:rFonts w:hint="eastAsia" w:ascii="宋体" w:hAnsi="宋体"/>
          <w:szCs w:val="21"/>
        </w:rPr>
        <w:t xml:space="preserve">   </w:t>
      </w:r>
      <w:r>
        <w:rPr>
          <w:rFonts w:hint="eastAsia" w:ascii="宋体" w:hAnsi="宋体"/>
          <w:sz w:val="24"/>
        </w:rPr>
        <w:t>正文一般使用小四号宋体字，重点文句加粗。</w:t>
      </w:r>
    </w:p>
    <w:p>
      <w:pPr>
        <w:spacing w:line="300" w:lineRule="auto"/>
        <w:ind w:firstLine="480" w:firstLineChars="200"/>
        <w:rPr>
          <w:rFonts w:ascii="宋体" w:hAnsi="宋体"/>
          <w:sz w:val="24"/>
        </w:rPr>
      </w:pPr>
      <w:r>
        <w:rPr>
          <w:rFonts w:hint="eastAsia" w:ascii="宋体" w:hAnsi="宋体"/>
          <w:sz w:val="24"/>
        </w:rPr>
        <w:t>题序层次要求为：</w:t>
      </w:r>
    </w:p>
    <w:p>
      <w:pPr>
        <w:spacing w:line="300" w:lineRule="auto"/>
        <w:ind w:firstLine="480" w:firstLineChars="200"/>
        <w:rPr>
          <w:rFonts w:ascii="宋体" w:hAnsi="宋体"/>
          <w:sz w:val="24"/>
        </w:rPr>
      </w:pPr>
    </w:p>
    <w:tbl>
      <w:tblPr>
        <w:tblStyle w:val="4"/>
        <w:tblW w:w="3168"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68" w:type="dxa"/>
            <w:tcBorders>
              <w:top w:val="single" w:color="auto" w:sz="4" w:space="0"/>
              <w:left w:val="single" w:color="auto" w:sz="4" w:space="0"/>
              <w:bottom w:val="single" w:color="auto" w:sz="4" w:space="0"/>
              <w:right w:val="single" w:color="auto" w:sz="4" w:space="0"/>
            </w:tcBorders>
          </w:tcPr>
          <w:p>
            <w:pPr>
              <w:spacing w:line="300" w:lineRule="auto"/>
              <w:ind w:firstLine="480" w:firstLineChars="200"/>
              <w:jc w:val="center"/>
              <w:rPr>
                <w:rFonts w:ascii="宋体" w:hAnsi="宋体"/>
                <w:sz w:val="24"/>
              </w:rPr>
            </w:pPr>
            <w:r>
              <w:rPr>
                <w:rFonts w:ascii="宋体" w:hAnsi="宋体"/>
                <w:sz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68" w:type="dxa"/>
            <w:tcBorders>
              <w:top w:val="single" w:color="auto" w:sz="4" w:space="0"/>
              <w:left w:val="single" w:color="auto" w:sz="4" w:space="0"/>
              <w:bottom w:val="single" w:color="auto" w:sz="4" w:space="0"/>
              <w:right w:val="single" w:color="auto" w:sz="4" w:space="0"/>
            </w:tcBorders>
          </w:tcPr>
          <w:p>
            <w:pPr>
              <w:spacing w:line="300" w:lineRule="auto"/>
              <w:ind w:firstLine="480" w:firstLineChars="200"/>
              <w:rPr>
                <w:rFonts w:ascii="宋体" w:hAnsi="宋体"/>
                <w:sz w:val="24"/>
              </w:rPr>
            </w:pPr>
            <w:r>
              <w:rPr>
                <w:rFonts w:hint="eastAsia" w:ascii="宋体" w:hAnsi="宋体"/>
                <w:sz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pPr>
              <w:spacing w:line="300" w:lineRule="auto"/>
              <w:ind w:firstLine="480" w:firstLineChars="200"/>
              <w:rPr>
                <w:rFonts w:ascii="宋体" w:hAnsi="宋体"/>
                <w:sz w:val="24"/>
              </w:rPr>
            </w:pPr>
            <w:r>
              <w:rPr>
                <w:rFonts w:hint="eastAsia" w:ascii="宋体" w:hAnsi="宋体"/>
                <w:sz w:val="24"/>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pPr>
              <w:spacing w:line="300" w:lineRule="auto"/>
              <w:ind w:firstLine="480" w:firstLineChars="200"/>
              <w:rPr>
                <w:rFonts w:ascii="宋体" w:hAnsi="宋体"/>
                <w:sz w:val="24"/>
              </w:rPr>
            </w:pPr>
            <w:r>
              <w:rPr>
                <w:rFonts w:hint="eastAsia" w:ascii="宋体" w:hAnsi="宋体"/>
                <w:sz w:val="24"/>
              </w:rPr>
              <w:t>（1）</w:t>
            </w:r>
          </w:p>
        </w:tc>
      </w:tr>
    </w:tbl>
    <w:p>
      <w:pPr>
        <w:spacing w:line="300" w:lineRule="auto"/>
        <w:ind w:firstLine="480" w:firstLineChars="200"/>
        <w:rPr>
          <w:rFonts w:ascii="宋体" w:hAnsi="宋体"/>
          <w:sz w:val="24"/>
        </w:rPr>
      </w:pPr>
      <w:r>
        <w:rPr>
          <w:rFonts w:hint="eastAsia" w:ascii="宋体" w:hAnsi="宋体"/>
          <w:sz w:val="24"/>
        </w:rPr>
        <w:t>毕业论文的全部标题层次应整齐清晰，相同的层次应采用统一的表示体例，正文中各级标题下的内容应同各自标题对应，不应有与标题无关的内容。</w:t>
      </w:r>
    </w:p>
    <w:p>
      <w:pPr>
        <w:spacing w:line="300" w:lineRule="auto"/>
        <w:ind w:firstLine="480" w:firstLineChars="200"/>
        <w:rPr>
          <w:rFonts w:ascii="宋体" w:hAnsi="宋体"/>
          <w:sz w:val="24"/>
        </w:rPr>
      </w:pPr>
      <w:r>
        <w:rPr>
          <w:rFonts w:hint="eastAsia" w:ascii="宋体" w:hAnsi="宋体"/>
          <w:sz w:val="24"/>
        </w:rPr>
        <w:t>各层标题均单独占行。第一级标题居中放置，使用小二号黑体字，加粗；第二、三、四等级标题缩进2字符，第二级标题使用宋体小三号，第三级标题采用宋体四号，三级以下的标题字体字号同正文。</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（六）段落格式设置</w:t>
      </w:r>
    </w:p>
    <w:p>
      <w:pPr>
        <w:spacing w:line="300" w:lineRule="auto"/>
        <w:ind w:firstLine="480" w:firstLineChars="200"/>
        <w:rPr>
          <w:rFonts w:ascii="宋体" w:hAnsi="宋体"/>
          <w:sz w:val="24"/>
        </w:rPr>
      </w:pPr>
      <w:r>
        <w:rPr>
          <w:rFonts w:hint="eastAsia" w:ascii="宋体" w:hAnsi="宋体"/>
          <w:sz w:val="24"/>
        </w:rPr>
        <w:t>1.正文段落设置</w:t>
      </w:r>
    </w:p>
    <w:p>
      <w:pPr>
        <w:spacing w:line="300" w:lineRule="auto"/>
        <w:ind w:firstLine="480" w:firstLineChars="200"/>
        <w:rPr>
          <w:rFonts w:ascii="宋体" w:hAnsi="宋体"/>
          <w:sz w:val="24"/>
        </w:rPr>
      </w:pPr>
      <w:r>
        <w:rPr>
          <w:rFonts w:hint="eastAsia" w:ascii="宋体" w:hAnsi="宋体"/>
          <w:sz w:val="24"/>
        </w:rPr>
        <w:t>两端对齐，正文文本，左缩进0字符，右缩进0字符，首行缩进2字符，段前0行，段后0行，多倍行距，行距设置值为1.25。</w:t>
      </w:r>
    </w:p>
    <w:p>
      <w:pPr>
        <w:spacing w:line="300" w:lineRule="auto"/>
        <w:ind w:firstLine="480" w:firstLineChars="200"/>
        <w:rPr>
          <w:rFonts w:ascii="宋体" w:hAnsi="宋体"/>
          <w:sz w:val="24"/>
        </w:rPr>
      </w:pPr>
      <w:r>
        <w:rPr>
          <w:rFonts w:hint="eastAsia" w:ascii="宋体" w:hAnsi="宋体"/>
          <w:sz w:val="24"/>
        </w:rPr>
        <w:t>2.标题段落格式设置</w:t>
      </w:r>
    </w:p>
    <w:p>
      <w:pPr>
        <w:spacing w:line="300" w:lineRule="auto"/>
        <w:ind w:firstLine="480" w:firstLineChars="200"/>
        <w:rPr>
          <w:rFonts w:ascii="宋体" w:hAnsi="宋体"/>
          <w:sz w:val="24"/>
        </w:rPr>
      </w:pPr>
      <w:r>
        <w:rPr>
          <w:rFonts w:hint="eastAsia" w:ascii="宋体" w:hAnsi="宋体"/>
          <w:sz w:val="24"/>
        </w:rPr>
        <w:t>1级标题，居中，左缩进0字符，右缩进0字符，无特殊格式，段前1行，段后0.5行，多倍行距，行距设置值为1.25。</w:t>
      </w:r>
    </w:p>
    <w:p>
      <w:pPr>
        <w:spacing w:line="300" w:lineRule="auto"/>
        <w:ind w:firstLine="480" w:firstLineChars="200"/>
        <w:rPr>
          <w:rFonts w:ascii="宋体" w:hAnsi="宋体"/>
          <w:sz w:val="24"/>
        </w:rPr>
      </w:pPr>
      <w:r>
        <w:rPr>
          <w:rFonts w:hint="eastAsia" w:ascii="宋体" w:hAnsi="宋体"/>
          <w:sz w:val="24"/>
        </w:rPr>
        <w:t>2级标题，左缩进0字符，右缩进0字符，特殊格式（首行缩进2字符），段前0.5行，段后0.5行，多倍行距，行距设置值为1.25。</w:t>
      </w:r>
    </w:p>
    <w:p>
      <w:pPr>
        <w:spacing w:line="300" w:lineRule="auto"/>
        <w:ind w:firstLine="480" w:firstLineChars="200"/>
        <w:rPr>
          <w:rFonts w:ascii="宋体" w:hAnsi="宋体"/>
          <w:sz w:val="24"/>
        </w:rPr>
      </w:pPr>
      <w:r>
        <w:rPr>
          <w:rFonts w:hint="eastAsia" w:ascii="宋体" w:hAnsi="宋体"/>
          <w:sz w:val="24"/>
        </w:rPr>
        <w:t>3级标题以下，格式同正文。</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（七）表格</w:t>
      </w:r>
    </w:p>
    <w:p>
      <w:pPr>
        <w:spacing w:line="300" w:lineRule="auto"/>
        <w:ind w:firstLine="480" w:firstLineChars="200"/>
        <w:rPr>
          <w:rFonts w:ascii="宋体" w:hAnsi="宋体"/>
          <w:sz w:val="24"/>
        </w:rPr>
      </w:pPr>
      <w:r>
        <w:rPr>
          <w:rFonts w:hint="eastAsia" w:ascii="宋体" w:hAnsi="宋体"/>
          <w:sz w:val="24"/>
        </w:rPr>
        <w:t xml:space="preserve">所有表格应有表序和表题。表内内容应对齐，表内数字、文字连续重复时不可使用“同上”等字样或符号代替。表内有整段文字时，起行处空一格，回行顶格，最后不用标点符号。 </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（八）图</w:t>
      </w:r>
    </w:p>
    <w:p>
      <w:pPr>
        <w:spacing w:line="300" w:lineRule="auto"/>
        <w:ind w:firstLine="480" w:firstLineChars="200"/>
        <w:rPr>
          <w:rFonts w:ascii="宋体" w:hAnsi="宋体"/>
          <w:sz w:val="24"/>
        </w:rPr>
      </w:pPr>
      <w:r>
        <w:rPr>
          <w:rFonts w:hint="eastAsia" w:ascii="宋体" w:hAnsi="宋体"/>
          <w:sz w:val="24"/>
        </w:rPr>
        <w:t>所有图应有图序和图题。一般要求采用计算机制图。文中图表需在表的上方、图的下方排印表号、表名、表注或图号、图名、图注。</w:t>
      </w: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（九）数字用法</w:t>
      </w:r>
    </w:p>
    <w:p>
      <w:pPr>
        <w:spacing w:line="300" w:lineRule="auto"/>
        <w:ind w:firstLine="480" w:firstLineChars="200"/>
        <w:rPr>
          <w:rFonts w:ascii="宋体" w:hAnsi="宋体"/>
          <w:sz w:val="24"/>
        </w:rPr>
      </w:pPr>
      <w:r>
        <w:rPr>
          <w:rFonts w:hint="eastAsia" w:ascii="宋体" w:hAnsi="宋体"/>
          <w:sz w:val="24"/>
        </w:rPr>
        <w:t>文中的数字，除部分结构层次序数和词、词组、惯用语、缩略语、具有修辞色彩语句中作为词素的数字必须使用汉字外，应当使用阿拉伯数码，同一文中，数字表示方法应前后一致。</w:t>
      </w:r>
    </w:p>
    <w:p>
      <w:pPr>
        <w:tabs>
          <w:tab w:val="left" w:pos="430"/>
        </w:tabs>
        <w:ind w:right="1048" w:rightChars="499" w:firstLine="420" w:firstLineChars="200"/>
        <w:rPr>
          <w:rFonts w:ascii="宋体" w:hAnsi="宋体"/>
          <w:szCs w:val="21"/>
        </w:rPr>
      </w:pPr>
    </w:p>
    <w:p>
      <w:pPr>
        <w:spacing w:before="120" w:beforeLines="50" w:after="120" w:afterLines="50" w:line="300" w:lineRule="auto"/>
        <w:ind w:firstLine="602" w:firstLineChars="200"/>
        <w:rPr>
          <w:rFonts w:ascii="宋体" w:hAnsi="宋体"/>
          <w:b/>
          <w:sz w:val="30"/>
          <w:szCs w:val="30"/>
        </w:rPr>
      </w:pPr>
      <w:r>
        <w:rPr>
          <w:rFonts w:hint="eastAsia" w:ascii="宋体" w:hAnsi="宋体"/>
          <w:b/>
          <w:sz w:val="30"/>
          <w:szCs w:val="30"/>
        </w:rPr>
        <w:t>（十）纵向设置页面。页边距为：</w:t>
      </w:r>
    </w:p>
    <w:p>
      <w:pPr>
        <w:spacing w:line="300" w:lineRule="auto"/>
        <w:ind w:firstLine="480" w:firstLineChars="200"/>
        <w:rPr>
          <w:rFonts w:ascii="宋体" w:hAnsi="宋体"/>
          <w:sz w:val="24"/>
        </w:rPr>
      </w:pPr>
      <w:r>
        <w:rPr>
          <w:rFonts w:hint="eastAsia" w:ascii="宋体" w:hAnsi="宋体"/>
          <w:sz w:val="24"/>
        </w:rPr>
        <w:t>上（T）：2.5 cm</w:t>
      </w:r>
    </w:p>
    <w:p>
      <w:pPr>
        <w:spacing w:line="300" w:lineRule="auto"/>
        <w:ind w:firstLine="480" w:firstLineChars="200"/>
        <w:rPr>
          <w:rFonts w:ascii="宋体" w:hAnsi="宋体"/>
          <w:sz w:val="24"/>
        </w:rPr>
      </w:pPr>
      <w:r>
        <w:rPr>
          <w:rFonts w:hint="eastAsia" w:ascii="宋体" w:hAnsi="宋体"/>
          <w:sz w:val="24"/>
        </w:rPr>
        <w:t>下（B）：2.5 cm</w:t>
      </w:r>
    </w:p>
    <w:p>
      <w:pPr>
        <w:spacing w:line="300" w:lineRule="auto"/>
        <w:ind w:firstLine="480" w:firstLineChars="200"/>
        <w:rPr>
          <w:rFonts w:ascii="宋体" w:hAnsi="宋体"/>
          <w:sz w:val="24"/>
        </w:rPr>
      </w:pPr>
      <w:r>
        <w:rPr>
          <w:rFonts w:hint="eastAsia" w:ascii="宋体" w:hAnsi="宋体"/>
          <w:sz w:val="24"/>
        </w:rPr>
        <w:t>左（L）：2 cm</w:t>
      </w:r>
    </w:p>
    <w:p>
      <w:pPr>
        <w:spacing w:line="300" w:lineRule="auto"/>
        <w:ind w:firstLine="480" w:firstLineChars="200"/>
        <w:rPr>
          <w:rFonts w:ascii="宋体" w:hAnsi="宋体"/>
          <w:sz w:val="24"/>
        </w:rPr>
      </w:pPr>
      <w:r>
        <w:rPr>
          <w:rFonts w:hint="eastAsia" w:ascii="宋体" w:hAnsi="宋体"/>
          <w:sz w:val="24"/>
        </w:rPr>
        <w:t>右（R）：2 cm</w:t>
      </w:r>
    </w:p>
    <w:p>
      <w:pPr>
        <w:spacing w:line="300" w:lineRule="auto"/>
        <w:ind w:firstLine="480" w:firstLineChars="200"/>
        <w:rPr>
          <w:rFonts w:ascii="宋体" w:hAnsi="宋体"/>
          <w:sz w:val="24"/>
        </w:rPr>
      </w:pPr>
      <w:r>
        <w:rPr>
          <w:rFonts w:hint="eastAsia" w:ascii="宋体" w:hAnsi="宋体"/>
          <w:sz w:val="24"/>
        </w:rPr>
        <w:t>装订线（T）：0.5 cm</w:t>
      </w:r>
    </w:p>
    <w:p>
      <w:pPr>
        <w:spacing w:line="300" w:lineRule="auto"/>
        <w:ind w:firstLine="480" w:firstLineChars="200"/>
        <w:rPr>
          <w:rFonts w:ascii="宋体" w:hAnsi="宋体"/>
          <w:sz w:val="24"/>
        </w:rPr>
      </w:pPr>
      <w:r>
        <w:rPr>
          <w:rFonts w:hint="eastAsia" w:ascii="宋体" w:hAnsi="宋体"/>
          <w:sz w:val="24"/>
        </w:rPr>
        <w:t>装订线位置（T）：左</w:t>
      </w:r>
    </w:p>
    <w:p>
      <w:pPr>
        <w:spacing w:line="300" w:lineRule="auto"/>
        <w:ind w:firstLine="480" w:firstLineChars="200"/>
        <w:rPr>
          <w:rFonts w:ascii="宋体" w:hAnsi="宋体"/>
          <w:sz w:val="24"/>
        </w:rPr>
      </w:pPr>
      <w:r>
        <w:rPr>
          <w:rFonts w:hint="eastAsia" w:ascii="宋体" w:hAnsi="宋体"/>
          <w:sz w:val="24"/>
        </w:rPr>
        <w:t>其余采取系统默认设置。</w:t>
      </w:r>
    </w:p>
    <w:p>
      <w:pPr>
        <w:spacing w:before="120" w:beforeLines="50" w:after="120" w:afterLines="50" w:line="300" w:lineRule="auto"/>
        <w:ind w:firstLine="420" w:firstLineChars="200"/>
        <w:rPr>
          <w:rFonts w:ascii="宋体" w:hAnsi="宋体"/>
          <w:b/>
          <w:sz w:val="30"/>
          <w:szCs w:val="30"/>
        </w:rPr>
      </w:pPr>
      <w:r>
        <w:rPr>
          <w:rFonts w:hint="eastAsia" w:ascii="宋体" w:hAnsi="宋体"/>
          <w:szCs w:val="21"/>
        </w:rPr>
        <w:t xml:space="preserve">    </w:t>
      </w:r>
      <w:r>
        <w:rPr>
          <w:rFonts w:hint="eastAsia" w:ascii="宋体" w:hAnsi="宋体"/>
          <w:b/>
          <w:sz w:val="30"/>
          <w:szCs w:val="30"/>
        </w:rPr>
        <w:t>（十一）页眉、页脚设置</w:t>
      </w:r>
    </w:p>
    <w:p>
      <w:pPr>
        <w:spacing w:line="300" w:lineRule="auto"/>
        <w:ind w:firstLine="480" w:firstLineChars="200"/>
        <w:rPr>
          <w:rFonts w:ascii="宋体" w:hAnsi="宋体"/>
          <w:sz w:val="24"/>
        </w:rPr>
      </w:pPr>
      <w:r>
        <w:rPr>
          <w:rFonts w:hint="eastAsia" w:ascii="宋体" w:hAnsi="宋体"/>
          <w:sz w:val="24"/>
        </w:rPr>
        <w:t>页眉中论文题目（不包括副题目）居中，采用五号宋体字。</w:t>
      </w:r>
    </w:p>
    <w:p>
      <w:pPr>
        <w:spacing w:line="300" w:lineRule="auto"/>
        <w:ind w:firstLine="480" w:firstLineChars="200"/>
        <w:rPr>
          <w:rFonts w:ascii="宋体" w:hAnsi="宋体"/>
          <w:sz w:val="24"/>
        </w:rPr>
      </w:pPr>
      <w:r>
        <w:rPr>
          <w:rFonts w:hint="eastAsia" w:ascii="宋体" w:hAnsi="宋体"/>
          <w:sz w:val="24"/>
        </w:rPr>
        <w:t>页脚需设置页码，页码使用阿拉伯数字：1、2、3……采用五号黑体字，加粗，居中放置。</w:t>
      </w:r>
    </w:p>
    <w:p>
      <w:pPr>
        <w:tabs>
          <w:tab w:val="left" w:pos="430"/>
        </w:tabs>
        <w:ind w:right="1048" w:rightChars="499" w:firstLine="420"/>
        <w:rPr>
          <w:rFonts w:ascii="宋体" w:hAnsi="宋体"/>
          <w:szCs w:val="21"/>
        </w:rPr>
      </w:pPr>
    </w:p>
    <w:p>
      <w:pPr>
        <w:tabs>
          <w:tab w:val="left" w:pos="430"/>
        </w:tabs>
        <w:ind w:right="1048" w:rightChars="499" w:firstLine="420" w:firstLineChars="200"/>
        <w:rPr>
          <w:rFonts w:ascii="宋体" w:hAnsi="宋体"/>
          <w:szCs w:val="21"/>
        </w:rPr>
      </w:pPr>
    </w:p>
    <w:p>
      <w:pPr>
        <w:tabs>
          <w:tab w:val="left" w:pos="430"/>
        </w:tabs>
        <w:ind w:right="1048" w:rightChars="499" w:firstLine="420" w:firstLineChars="200"/>
        <w:rPr>
          <w:rFonts w:ascii="宋体" w:hAnsi="宋体"/>
          <w:szCs w:val="21"/>
        </w:rPr>
      </w:pPr>
      <w:r>
        <w:rPr>
          <w:rFonts w:ascii="宋体" w:hAnsi="宋体"/>
          <w:szCs w:val="21"/>
        </w:rPr>
        <w:br w:type="page"/>
      </w:r>
      <w:r>
        <w:rPr>
          <w:rFonts w:hint="eastAsia" w:ascii="宋体" w:hAnsi="宋体"/>
          <w:szCs w:val="21"/>
        </w:rPr>
        <w:t>附:</w:t>
      </w:r>
    </w:p>
    <w:p>
      <w:pPr>
        <w:spacing w:before="240" w:beforeLines="100" w:after="120" w:afterLines="50" w:line="300" w:lineRule="auto"/>
        <w:ind w:firstLine="723" w:firstLineChars="200"/>
        <w:jc w:val="center"/>
        <w:rPr>
          <w:rFonts w:ascii="黑体" w:hAnsi="宋体" w:eastAsia="黑体"/>
          <w:b/>
          <w:sz w:val="36"/>
          <w:szCs w:val="36"/>
        </w:rPr>
      </w:pPr>
      <w:r>
        <w:rPr>
          <w:rFonts w:hint="eastAsia" w:ascii="黑体" w:hAnsi="宋体" w:eastAsia="黑体"/>
          <w:b/>
          <w:sz w:val="36"/>
          <w:szCs w:val="36"/>
        </w:rPr>
        <w:t>参考</w:t>
      </w:r>
      <w:r>
        <w:rPr>
          <w:rFonts w:ascii="黑体" w:hAnsi="宋体" w:eastAsia="黑体"/>
          <w:b/>
          <w:sz w:val="36"/>
          <w:szCs w:val="36"/>
        </w:rPr>
        <w:t>《</w:t>
      </w:r>
      <w:r>
        <w:rPr>
          <w:rFonts w:hint="eastAsia" w:ascii="黑体" w:hAnsi="宋体" w:eastAsia="黑体"/>
          <w:b/>
          <w:sz w:val="36"/>
          <w:szCs w:val="36"/>
        </w:rPr>
        <w:t>法学引注手册</w:t>
      </w:r>
      <w:r>
        <w:rPr>
          <w:rFonts w:ascii="黑体" w:hAnsi="宋体" w:eastAsia="黑体"/>
          <w:b/>
          <w:sz w:val="36"/>
          <w:szCs w:val="36"/>
        </w:rPr>
        <w:t>》注释</w:t>
      </w:r>
    </w:p>
    <w:p>
      <w:pPr>
        <w:spacing w:before="240" w:beforeLines="100" w:after="120" w:afterLines="50" w:line="300" w:lineRule="auto"/>
        <w:ind w:firstLine="723" w:firstLineChars="200"/>
        <w:jc w:val="center"/>
        <w:rPr>
          <w:rFonts w:ascii="黑体" w:hAnsi="宋体" w:eastAsia="黑体"/>
          <w:b/>
          <w:sz w:val="36"/>
          <w:szCs w:val="36"/>
        </w:rPr>
      </w:pPr>
      <w:r>
        <w:rPr>
          <w:rFonts w:hint="eastAsia" w:ascii="黑体" w:hAnsi="宋体" w:eastAsia="黑体"/>
          <w:b/>
          <w:sz w:val="36"/>
          <w:szCs w:val="36"/>
        </w:rPr>
        <w:t>示例</w:t>
      </w:r>
    </w:p>
    <w:p>
      <w:pPr>
        <w:pStyle w:val="3"/>
        <w:spacing w:before="1"/>
        <w:ind w:left="753"/>
      </w:pPr>
      <w:r>
        <w:t>（一）引用书籍的基本格式为：</w:t>
      </w:r>
    </w:p>
    <w:p>
      <w:pPr>
        <w:pStyle w:val="3"/>
        <w:spacing w:before="160"/>
        <w:ind w:left="753"/>
      </w:pPr>
      <w:r>
        <w:rPr>
          <w:color w:val="008080"/>
        </w:rPr>
        <w:t>〔1〕王名扬：《美国行政法》，北京大学出版社 2007 年版。</w:t>
      </w:r>
    </w:p>
    <w:p>
      <w:pPr>
        <w:pStyle w:val="3"/>
        <w:spacing w:before="161"/>
        <w:ind w:left="753"/>
      </w:pPr>
      <w:r>
        <w:rPr>
          <w:color w:val="008080"/>
        </w:rPr>
        <w:t>〔2</w:t>
      </w:r>
      <w:r>
        <w:rPr>
          <w:color w:val="008080"/>
          <w:spacing w:val="-22"/>
        </w:rPr>
        <w:t>〕张新宝：《侵权责任法》</w:t>
      </w:r>
      <w:r>
        <w:rPr>
          <w:color w:val="008080"/>
        </w:rPr>
        <w:t>（</w:t>
      </w:r>
      <w:r>
        <w:rPr>
          <w:color w:val="008080"/>
          <w:spacing w:val="-27"/>
        </w:rPr>
        <w:t xml:space="preserve">第 </w:t>
      </w:r>
      <w:r>
        <w:rPr>
          <w:color w:val="008080"/>
        </w:rPr>
        <w:t>4</w:t>
      </w:r>
      <w:r>
        <w:rPr>
          <w:color w:val="008080"/>
          <w:spacing w:val="-27"/>
        </w:rPr>
        <w:t xml:space="preserve"> 版</w:t>
      </w:r>
      <w:r>
        <w:rPr>
          <w:color w:val="008080"/>
          <w:spacing w:val="-120"/>
        </w:rPr>
        <w:t>）</w:t>
      </w:r>
      <w:r>
        <w:rPr>
          <w:color w:val="008080"/>
          <w:spacing w:val="-5"/>
        </w:rPr>
        <w:t xml:space="preserve">，中国人民大学出版社 </w:t>
      </w:r>
      <w:r>
        <w:rPr>
          <w:color w:val="008080"/>
        </w:rPr>
        <w:t>2016</w:t>
      </w:r>
      <w:r>
        <w:rPr>
          <w:color w:val="008080"/>
          <w:spacing w:val="-14"/>
        </w:rPr>
        <w:t xml:space="preserve"> 年版，</w:t>
      </w:r>
    </w:p>
    <w:p>
      <w:pPr>
        <w:pStyle w:val="3"/>
        <w:spacing w:before="161"/>
      </w:pPr>
      <w:r>
        <w:rPr>
          <w:color w:val="008080"/>
        </w:rPr>
        <w:t>第 73-75 页。</w:t>
      </w:r>
    </w:p>
    <w:p>
      <w:pPr>
        <w:pStyle w:val="3"/>
        <w:spacing w:before="160" w:line="364" w:lineRule="auto"/>
        <w:ind w:right="356" w:firstLine="407"/>
      </w:pPr>
      <w:r>
        <w:rPr>
          <w:color w:val="008080"/>
        </w:rPr>
        <w:t>〔3</w:t>
      </w:r>
      <w:r>
        <w:rPr>
          <w:color w:val="008080"/>
          <w:spacing w:val="-19"/>
        </w:rPr>
        <w:t xml:space="preserve">〕高鸿钧等主编：《英美法原论》，北京大学出版社 </w:t>
      </w:r>
      <w:r>
        <w:rPr>
          <w:color w:val="008080"/>
        </w:rPr>
        <w:t>2013</w:t>
      </w:r>
      <w:r>
        <w:rPr>
          <w:color w:val="008080"/>
          <w:spacing w:val="-10"/>
        </w:rPr>
        <w:t xml:space="preserve"> 年版，第二章</w:t>
      </w:r>
      <w:r>
        <w:rPr>
          <w:color w:val="008080"/>
        </w:rPr>
        <w:t>“英美判例法”。</w:t>
      </w:r>
    </w:p>
    <w:p>
      <w:pPr>
        <w:pStyle w:val="3"/>
        <w:spacing w:before="1"/>
        <w:ind w:left="753"/>
      </w:pPr>
      <w:r>
        <w:rPr>
          <w:color w:val="008080"/>
        </w:rPr>
        <w:t>〔4〕[美]富勒：《法律的道德性》，郑戈译，商务印书馆 2005 年版。</w:t>
      </w:r>
    </w:p>
    <w:p>
      <w:pPr>
        <w:pStyle w:val="3"/>
        <w:ind w:left="0"/>
      </w:pPr>
    </w:p>
    <w:p>
      <w:pPr>
        <w:pStyle w:val="3"/>
        <w:spacing w:before="1"/>
        <w:ind w:left="0"/>
        <w:rPr>
          <w:sz w:val="25"/>
        </w:rPr>
      </w:pPr>
    </w:p>
    <w:p>
      <w:pPr>
        <w:pStyle w:val="3"/>
        <w:ind w:left="753"/>
      </w:pPr>
      <w:r>
        <w:t>（二）引用已刊发文章的基本格式为：</w:t>
      </w:r>
    </w:p>
    <w:p>
      <w:pPr>
        <w:pStyle w:val="3"/>
        <w:spacing w:before="161" w:line="364" w:lineRule="auto"/>
        <w:ind w:right="353" w:firstLine="407"/>
      </w:pPr>
      <w:r>
        <w:rPr>
          <w:color w:val="008080"/>
        </w:rPr>
        <w:t>〔5</w:t>
      </w:r>
      <w:r>
        <w:rPr>
          <w:color w:val="008080"/>
          <w:spacing w:val="-19"/>
        </w:rPr>
        <w:t>〕季卫东：《法律程序的意义：对中国法制建设的另一种思考》，载《中</w:t>
      </w:r>
      <w:r>
        <w:rPr>
          <w:color w:val="008080"/>
        </w:rPr>
        <w:t>国社会科学》1993</w:t>
      </w:r>
      <w:r>
        <w:rPr>
          <w:color w:val="008080"/>
          <w:spacing w:val="-31"/>
        </w:rPr>
        <w:t xml:space="preserve"> 年第 </w:t>
      </w:r>
      <w:r>
        <w:rPr>
          <w:color w:val="008080"/>
        </w:rPr>
        <w:t>1</w:t>
      </w:r>
      <w:r>
        <w:rPr>
          <w:color w:val="008080"/>
          <w:spacing w:val="-20"/>
        </w:rPr>
        <w:t xml:space="preserve"> 期。</w:t>
      </w:r>
    </w:p>
    <w:p>
      <w:pPr>
        <w:pStyle w:val="3"/>
        <w:spacing w:before="1"/>
        <w:ind w:left="770"/>
      </w:pPr>
      <w:r>
        <w:rPr>
          <w:color w:val="008080"/>
        </w:rPr>
        <w:t>〔6</w:t>
      </w:r>
      <w:r>
        <w:rPr>
          <w:color w:val="008080"/>
          <w:spacing w:val="-30"/>
        </w:rPr>
        <w:t>〕王保树</w:t>
      </w:r>
      <w:r>
        <w:rPr>
          <w:color w:val="008080"/>
          <w:spacing w:val="-24"/>
        </w:rPr>
        <w:t>：《股份有限公司机关构造中的董事和董事会》，载梁慧星主编：</w:t>
      </w:r>
    </w:p>
    <w:p>
      <w:pPr>
        <w:pStyle w:val="3"/>
        <w:spacing w:before="161"/>
      </w:pPr>
      <w:r>
        <w:rPr>
          <w:color w:val="008080"/>
        </w:rPr>
        <w:t>《民商法论丛》第 1 卷，法律出版社 1994 年版，第 110 页。</w:t>
      </w:r>
    </w:p>
    <w:p>
      <w:pPr>
        <w:pStyle w:val="3"/>
        <w:spacing w:before="160" w:line="364" w:lineRule="auto"/>
        <w:ind w:right="356" w:firstLine="424"/>
      </w:pPr>
      <w:r>
        <w:rPr>
          <w:color w:val="008080"/>
        </w:rPr>
        <w:t>〔7</w:t>
      </w:r>
      <w:r>
        <w:rPr>
          <w:color w:val="008080"/>
          <w:spacing w:val="-22"/>
        </w:rPr>
        <w:t>〕[美]欧中坦：《千方百计上京城：清朝的京控》，谢鹏程译，载高道蕴</w:t>
      </w:r>
      <w:r>
        <w:rPr>
          <w:color w:val="008080"/>
          <w:spacing w:val="-19"/>
        </w:rPr>
        <w:t xml:space="preserve">等编：《美国学者论中国法律传统》，中国政法大学出版社 </w:t>
      </w:r>
      <w:r>
        <w:rPr>
          <w:color w:val="008080"/>
        </w:rPr>
        <w:t>1994</w:t>
      </w:r>
      <w:r>
        <w:rPr>
          <w:color w:val="008080"/>
          <w:spacing w:val="-15"/>
        </w:rPr>
        <w:t xml:space="preserve"> 年版。</w:t>
      </w:r>
    </w:p>
    <w:p>
      <w:pPr>
        <w:pStyle w:val="3"/>
        <w:spacing w:before="1"/>
        <w:ind w:left="753"/>
      </w:pPr>
      <w:r>
        <w:rPr>
          <w:color w:val="008080"/>
        </w:rPr>
        <w:t>〔8</w:t>
      </w:r>
      <w:r>
        <w:rPr>
          <w:color w:val="008080"/>
          <w:spacing w:val="-12"/>
        </w:rPr>
        <w:t>〕何海波</w:t>
      </w:r>
      <w:r>
        <w:rPr>
          <w:color w:val="008080"/>
          <w:spacing w:val="-29"/>
        </w:rPr>
        <w:t>：《判决书上网》，载《法制日报》</w:t>
      </w:r>
      <w:r>
        <w:rPr>
          <w:color w:val="008080"/>
        </w:rPr>
        <w:t>2000</w:t>
      </w:r>
      <w:r>
        <w:rPr>
          <w:color w:val="008080"/>
          <w:spacing w:val="-40"/>
        </w:rPr>
        <w:t xml:space="preserve"> 年 </w:t>
      </w:r>
      <w:r>
        <w:rPr>
          <w:color w:val="008080"/>
        </w:rPr>
        <w:t>5</w:t>
      </w:r>
      <w:r>
        <w:rPr>
          <w:color w:val="008080"/>
          <w:spacing w:val="-40"/>
        </w:rPr>
        <w:t xml:space="preserve"> 月 </w:t>
      </w:r>
      <w:r>
        <w:rPr>
          <w:color w:val="008080"/>
        </w:rPr>
        <w:t>21</w:t>
      </w:r>
      <w:r>
        <w:rPr>
          <w:color w:val="008080"/>
          <w:spacing w:val="-34"/>
        </w:rPr>
        <w:t xml:space="preserve"> 日，第 </w:t>
      </w:r>
      <w:r>
        <w:rPr>
          <w:color w:val="008080"/>
        </w:rPr>
        <w:t>2</w:t>
      </w:r>
      <w:r>
        <w:rPr>
          <w:color w:val="008080"/>
          <w:spacing w:val="-20"/>
        </w:rPr>
        <w:t xml:space="preserve"> 版。</w:t>
      </w:r>
    </w:p>
    <w:p>
      <w:pPr>
        <w:pStyle w:val="3"/>
        <w:ind w:left="0"/>
      </w:pPr>
    </w:p>
    <w:p>
      <w:pPr>
        <w:pStyle w:val="3"/>
        <w:spacing w:before="1"/>
        <w:ind w:left="0"/>
        <w:rPr>
          <w:sz w:val="25"/>
        </w:rPr>
      </w:pPr>
    </w:p>
    <w:p>
      <w:pPr>
        <w:pStyle w:val="3"/>
        <w:ind w:left="753"/>
      </w:pPr>
      <w:r>
        <w:t>（三）引用网络文章的基本格式为：</w:t>
      </w:r>
    </w:p>
    <w:p>
      <w:pPr>
        <w:pStyle w:val="3"/>
        <w:spacing w:before="161" w:line="364" w:lineRule="auto"/>
        <w:ind w:right="116" w:firstLine="424"/>
      </w:pPr>
      <w:r>
        <w:rPr>
          <w:color w:val="008080"/>
        </w:rPr>
        <w:t>〔9</w:t>
      </w:r>
      <w:r>
        <w:rPr>
          <w:color w:val="008080"/>
          <w:spacing w:val="-21"/>
        </w:rPr>
        <w:t>〕汪波：《哈尔滨市政法机关正对“宝马案”认真调查复查》，载人民网2004</w:t>
      </w:r>
      <w:r>
        <w:rPr>
          <w:color w:val="008080"/>
          <w:spacing w:val="-20"/>
        </w:rPr>
        <w:t xml:space="preserve"> 年</w:t>
      </w:r>
      <w:r>
        <w:rPr>
          <w:color w:val="008080"/>
        </w:rPr>
        <w:t>1</w:t>
      </w:r>
      <w:r>
        <w:rPr>
          <w:color w:val="008080"/>
          <w:spacing w:val="-20"/>
        </w:rPr>
        <w:t xml:space="preserve"> 月</w:t>
      </w:r>
      <w:r>
        <w:rPr>
          <w:color w:val="008080"/>
        </w:rPr>
        <w:t>10</w:t>
      </w:r>
      <w:r>
        <w:rPr>
          <w:color w:val="008080"/>
          <w:spacing w:val="-67"/>
        </w:rPr>
        <w:t xml:space="preserve"> 日，</w:t>
      </w:r>
      <w:r>
        <w:fldChar w:fldCharType="begin"/>
      </w:r>
      <w:r>
        <w:instrText xml:space="preserve"> HYPERLINK "http://www.people.com.cn/GB/shehui/1062/2289764.html" \h </w:instrText>
      </w:r>
      <w:r>
        <w:fldChar w:fldCharType="separate"/>
      </w:r>
      <w:r>
        <w:rPr>
          <w:color w:val="008080"/>
        </w:rPr>
        <w:t>htt</w:t>
      </w:r>
      <w:r>
        <w:rPr>
          <w:color w:val="008080"/>
          <w:spacing w:val="-3"/>
        </w:rPr>
        <w:t>p</w:t>
      </w:r>
      <w:r>
        <w:rPr>
          <w:color w:val="008080"/>
        </w:rPr>
        <w:t>://www.people.com.cn/GB/shehui/1062/2289764.htm</w:t>
      </w:r>
      <w:r>
        <w:rPr>
          <w:color w:val="008080"/>
          <w:spacing w:val="1"/>
        </w:rPr>
        <w:t>l</w:t>
      </w:r>
      <w:r>
        <w:rPr>
          <w:color w:val="008080"/>
          <w:spacing w:val="1"/>
        </w:rPr>
        <w:fldChar w:fldCharType="end"/>
      </w:r>
      <w:r>
        <w:rPr>
          <w:color w:val="008080"/>
          <w:spacing w:val="-13"/>
        </w:rPr>
        <w:t>。</w:t>
      </w:r>
    </w:p>
    <w:p>
      <w:pPr>
        <w:pStyle w:val="3"/>
        <w:spacing w:before="1" w:line="364" w:lineRule="auto"/>
        <w:ind w:right="116" w:firstLine="424"/>
      </w:pPr>
      <w:r>
        <w:rPr>
          <w:color w:val="008080"/>
        </w:rPr>
        <w:t>〔10</w:t>
      </w:r>
      <w:r>
        <w:rPr>
          <w:color w:val="008080"/>
          <w:spacing w:val="-16"/>
        </w:rPr>
        <w:t xml:space="preserve">〕《温家宝主持国务院会议 研究房地产业健康发展措施》，载新华网， </w:t>
      </w:r>
      <w:r>
        <w:fldChar w:fldCharType="begin"/>
      </w:r>
      <w:r>
        <w:instrText xml:space="preserve"> HYPERLINK "http://news.xinhuanet.com/newscenter/2006-05/17/content_4562304.htm" \h </w:instrText>
      </w:r>
      <w:r>
        <w:fldChar w:fldCharType="separate"/>
      </w:r>
      <w:r>
        <w:rPr>
          <w:color w:val="008080"/>
          <w:spacing w:val="-16"/>
        </w:rPr>
        <w:t>http://news.xinhuanet.com/newscenter/2006-05/17/content_4562304.htm</w:t>
      </w:r>
      <w:r>
        <w:rPr>
          <w:color w:val="008080"/>
          <w:spacing w:val="-38"/>
        </w:rPr>
        <w:t xml:space="preserve"> </w:t>
      </w:r>
      <w:r>
        <w:rPr>
          <w:color w:val="008080"/>
          <w:spacing w:val="-38"/>
        </w:rPr>
        <w:fldChar w:fldCharType="end"/>
      </w:r>
      <w:r>
        <w:rPr>
          <w:color w:val="008080"/>
          <w:spacing w:val="-17"/>
        </w:rPr>
        <w:t>。</w:t>
      </w:r>
    </w:p>
    <w:p>
      <w:pPr>
        <w:pStyle w:val="3"/>
        <w:spacing w:before="2" w:line="364" w:lineRule="auto"/>
        <w:ind w:right="360" w:firstLine="407"/>
      </w:pPr>
      <w:r>
        <w:rPr>
          <w:color w:val="008080"/>
        </w:rPr>
        <w:t>〔11</w:t>
      </w:r>
      <w:r>
        <w:rPr>
          <w:color w:val="008080"/>
          <w:spacing w:val="-18"/>
        </w:rPr>
        <w:t>〕赵耀彤：《一名基层法官眼里好律师的样子》，载微信公众号“中国</w:t>
      </w:r>
      <w:r>
        <w:rPr>
          <w:color w:val="008080"/>
          <w:spacing w:val="-25"/>
        </w:rPr>
        <w:t>法律评论”</w:t>
      </w:r>
      <w:r>
        <w:rPr>
          <w:color w:val="008080"/>
        </w:rPr>
        <w:t>，2018</w:t>
      </w:r>
      <w:r>
        <w:rPr>
          <w:color w:val="008080"/>
          <w:spacing w:val="-40"/>
        </w:rPr>
        <w:t xml:space="preserve"> 年 </w:t>
      </w:r>
      <w:r>
        <w:rPr>
          <w:color w:val="008080"/>
        </w:rPr>
        <w:t>12</w:t>
      </w:r>
      <w:r>
        <w:rPr>
          <w:color w:val="008080"/>
          <w:spacing w:val="-40"/>
        </w:rPr>
        <w:t xml:space="preserve"> 月 </w:t>
      </w:r>
      <w:r>
        <w:rPr>
          <w:color w:val="008080"/>
        </w:rPr>
        <w:t>1</w:t>
      </w:r>
      <w:r>
        <w:rPr>
          <w:color w:val="008080"/>
          <w:spacing w:val="-20"/>
        </w:rPr>
        <w:t xml:space="preserve"> 日。</w:t>
      </w:r>
    </w:p>
    <w:p>
      <w:pPr>
        <w:pStyle w:val="3"/>
        <w:spacing w:before="1"/>
        <w:ind w:left="753"/>
      </w:pPr>
      <w:r>
        <w:fldChar w:fldCharType="begin"/>
      </w:r>
      <w:r>
        <w:instrText xml:space="preserve"> HYPERLINK "http://english.conseil-etat.fr/Judging" \h </w:instrText>
      </w:r>
      <w:r>
        <w:fldChar w:fldCharType="separate"/>
      </w:r>
      <w:r>
        <w:rPr>
          <w:color w:val="008080"/>
        </w:rPr>
        <w:t>〔12〕参见法国行政法院网站,http://english.conseil-</w:t>
      </w:r>
      <w:r>
        <w:rPr>
          <w:color w:val="008080"/>
        </w:rPr>
        <w:fldChar w:fldCharType="end"/>
      </w:r>
    </w:p>
    <w:p>
      <w:pPr>
        <w:sectPr>
          <w:pgSz w:w="11910" w:h="16840"/>
          <w:pgMar w:top="1580" w:right="1440" w:bottom="980" w:left="1640" w:header="0" w:footer="1051" w:gutter="0"/>
          <w:cols w:space="720" w:num="1"/>
        </w:sectPr>
      </w:pPr>
    </w:p>
    <w:p>
      <w:pPr>
        <w:pStyle w:val="3"/>
        <w:spacing w:before="41"/>
      </w:pPr>
      <w:r>
        <w:fldChar w:fldCharType="begin"/>
      </w:r>
      <w:r>
        <w:instrText xml:space="preserve"> HYPERLINK "http://english.conseil-etat.fr/Judging" \h </w:instrText>
      </w:r>
      <w:r>
        <w:fldChar w:fldCharType="separate"/>
      </w:r>
      <w:r>
        <w:rPr>
          <w:color w:val="008080"/>
        </w:rPr>
        <w:t>etat.fr/Judging</w:t>
      </w:r>
      <w:r>
        <w:rPr>
          <w:color w:val="008080"/>
        </w:rPr>
        <w:fldChar w:fldCharType="end"/>
      </w:r>
      <w:r>
        <w:rPr>
          <w:color w:val="008080"/>
        </w:rPr>
        <w:t>, 2016 年 12 月 18 日访问。</w:t>
      </w:r>
    </w:p>
    <w:p>
      <w:pPr>
        <w:pStyle w:val="3"/>
        <w:ind w:left="0"/>
      </w:pPr>
    </w:p>
    <w:p>
      <w:pPr>
        <w:pStyle w:val="3"/>
        <w:ind w:left="0"/>
        <w:rPr>
          <w:sz w:val="25"/>
        </w:rPr>
      </w:pPr>
    </w:p>
    <w:p>
      <w:pPr>
        <w:pStyle w:val="3"/>
        <w:spacing w:before="1"/>
        <w:ind w:left="753"/>
      </w:pPr>
      <w:r>
        <w:t>（四）引用学位论文的基本格式为：</w:t>
      </w:r>
    </w:p>
    <w:p>
      <w:pPr>
        <w:pStyle w:val="3"/>
        <w:spacing w:before="160" w:line="364" w:lineRule="auto"/>
        <w:ind w:right="360" w:firstLine="407"/>
      </w:pPr>
      <w:r>
        <w:rPr>
          <w:color w:val="008080"/>
        </w:rPr>
        <w:t>〔13</w:t>
      </w:r>
      <w:r>
        <w:rPr>
          <w:color w:val="008080"/>
          <w:spacing w:val="-12"/>
        </w:rPr>
        <w:t>〕 李松锋：《游走在上帝与凯撒之间：美国宪法第一修正案中的政教</w:t>
      </w:r>
      <w:r>
        <w:rPr>
          <w:color w:val="008080"/>
          <w:spacing w:val="-16"/>
        </w:rPr>
        <w:t xml:space="preserve">关系研究》，中国政法大学 </w:t>
      </w:r>
      <w:r>
        <w:rPr>
          <w:color w:val="008080"/>
        </w:rPr>
        <w:t>2015</w:t>
      </w:r>
      <w:r>
        <w:rPr>
          <w:color w:val="008080"/>
          <w:spacing w:val="-8"/>
        </w:rPr>
        <w:t xml:space="preserve"> 年博士学位论文。</w:t>
      </w:r>
    </w:p>
    <w:p>
      <w:pPr>
        <w:pStyle w:val="3"/>
        <w:ind w:left="0"/>
      </w:pPr>
    </w:p>
    <w:p>
      <w:pPr>
        <w:pStyle w:val="3"/>
        <w:spacing w:before="162"/>
        <w:ind w:left="753"/>
      </w:pPr>
      <w:r>
        <w:t>（五）引用法律文件的基本格式为：</w:t>
      </w:r>
    </w:p>
    <w:p>
      <w:pPr>
        <w:pStyle w:val="3"/>
        <w:spacing w:before="160"/>
        <w:ind w:left="753"/>
      </w:pPr>
      <w:r>
        <w:rPr>
          <w:color w:val="008080"/>
        </w:rPr>
        <w:t>〔14〕《民法总则》第 27 条第 2 款第 3 项</w:t>
      </w:r>
    </w:p>
    <w:p>
      <w:pPr>
        <w:pStyle w:val="3"/>
        <w:spacing w:before="161" w:line="364" w:lineRule="auto"/>
        <w:ind w:right="116" w:firstLine="407"/>
      </w:pPr>
      <w:r>
        <w:rPr>
          <w:color w:val="008080"/>
        </w:rPr>
        <w:t>〔15</w:t>
      </w:r>
      <w:r>
        <w:rPr>
          <w:color w:val="008080"/>
          <w:spacing w:val="-24"/>
        </w:rPr>
        <w:t>〕《国务院关于在全国建立农村最低生活保障制度的通知》，国发〔</w:t>
      </w:r>
      <w:r>
        <w:rPr>
          <w:color w:val="008080"/>
        </w:rPr>
        <w:t>2007</w:t>
      </w:r>
      <w:r>
        <w:rPr>
          <w:color w:val="008080"/>
          <w:spacing w:val="-15"/>
        </w:rPr>
        <w:t>〕</w:t>
      </w:r>
      <w:r>
        <w:rPr>
          <w:color w:val="008080"/>
        </w:rPr>
        <w:t>19</w:t>
      </w:r>
      <w:r>
        <w:rPr>
          <w:color w:val="008080"/>
          <w:spacing w:val="-31"/>
        </w:rPr>
        <w:t xml:space="preserve"> 号</w:t>
      </w:r>
      <w:r>
        <w:rPr>
          <w:color w:val="008080"/>
        </w:rPr>
        <w:t>，2007</w:t>
      </w:r>
      <w:r>
        <w:rPr>
          <w:color w:val="008080"/>
          <w:spacing w:val="-40"/>
        </w:rPr>
        <w:t xml:space="preserve"> 年 </w:t>
      </w:r>
      <w:r>
        <w:rPr>
          <w:color w:val="008080"/>
        </w:rPr>
        <w:t>7</w:t>
      </w:r>
      <w:r>
        <w:rPr>
          <w:color w:val="008080"/>
          <w:spacing w:val="-40"/>
        </w:rPr>
        <w:t xml:space="preserve"> 月 </w:t>
      </w:r>
      <w:r>
        <w:rPr>
          <w:color w:val="008080"/>
        </w:rPr>
        <w:t>11</w:t>
      </w:r>
      <w:r>
        <w:rPr>
          <w:color w:val="008080"/>
          <w:spacing w:val="-12"/>
        </w:rPr>
        <w:t xml:space="preserve"> 日发布。</w:t>
      </w:r>
    </w:p>
    <w:p>
      <w:pPr>
        <w:pStyle w:val="3"/>
        <w:ind w:left="0"/>
      </w:pPr>
    </w:p>
    <w:p>
      <w:pPr>
        <w:pStyle w:val="3"/>
        <w:spacing w:before="162"/>
        <w:ind w:left="753"/>
      </w:pPr>
      <w:r>
        <w:t>（六）引用司法案例的基本格式为：</w:t>
      </w:r>
    </w:p>
    <w:p>
      <w:pPr>
        <w:pStyle w:val="3"/>
        <w:spacing w:before="161"/>
        <w:ind w:left="753"/>
      </w:pPr>
      <w:r>
        <w:rPr>
          <w:color w:val="008080"/>
        </w:rPr>
        <w:t>〔16〕 包郑照诉苍南县人民政府强制拆除房屋案，浙江省高级人民法院</w:t>
      </w:r>
    </w:p>
    <w:p>
      <w:pPr>
        <w:pStyle w:val="3"/>
        <w:spacing w:before="160"/>
      </w:pPr>
      <w:r>
        <w:rPr>
          <w:color w:val="008080"/>
        </w:rPr>
        <w:t>（1988）浙法民上字 7 号民事判决书。</w:t>
      </w:r>
    </w:p>
    <w:p>
      <w:pPr>
        <w:pStyle w:val="3"/>
        <w:spacing w:before="161" w:line="364" w:lineRule="auto"/>
        <w:ind w:right="356" w:firstLine="424"/>
      </w:pPr>
      <w:r>
        <w:rPr>
          <w:color w:val="008080"/>
        </w:rPr>
        <w:t>〔17</w:t>
      </w:r>
      <w:r>
        <w:rPr>
          <w:color w:val="008080"/>
          <w:spacing w:val="-38"/>
        </w:rPr>
        <w:t xml:space="preserve">〕 </w:t>
      </w:r>
      <w:r>
        <w:fldChar w:fldCharType="begin"/>
      </w:r>
      <w:r>
        <w:instrText xml:space="preserve"> HYPERLINK "http://law.wkinfo.com.cn/document/showCaseAnalysis?showType=0&amp;tokens=f1b8c295bfb35f50f58b183bc83dffe2&amp;language=1&amp;collection=caseAnalysis&amp;aid=MkExMDAwMDc5MDk%3D&amp;modules&amp;bid&amp;format&amp;sysLang=zh_CN&amp;searchKeys=f1b8c295bfb35f50f58b183bc83dffe2" \h </w:instrText>
      </w:r>
      <w:r>
        <w:fldChar w:fldCharType="separate"/>
      </w:r>
      <w:r>
        <w:rPr>
          <w:color w:val="008080"/>
        </w:rPr>
        <w:t>陆红霞诉南通市发改委政府信息公开案</w:t>
      </w:r>
      <w:r>
        <w:rPr>
          <w:color w:val="008080"/>
          <w:spacing w:val="-195"/>
        </w:rPr>
        <w:t>，</w:t>
      </w:r>
      <w:r>
        <w:rPr>
          <w:color w:val="008080"/>
          <w:spacing w:val="-195"/>
        </w:rPr>
        <w:fldChar w:fldCharType="end"/>
      </w:r>
      <w:r>
        <w:rPr>
          <w:color w:val="008080"/>
          <w:spacing w:val="-8"/>
        </w:rPr>
        <w:t>《最高人民法院公报》</w:t>
      </w:r>
      <w:r>
        <w:rPr>
          <w:color w:val="008080"/>
          <w:spacing w:val="-4"/>
        </w:rPr>
        <w:t xml:space="preserve">2015 </w:t>
      </w:r>
      <w:r>
        <w:rPr>
          <w:color w:val="008080"/>
          <w:spacing w:val="-21"/>
        </w:rPr>
        <w:t xml:space="preserve">年第 </w:t>
      </w:r>
      <w:r>
        <w:rPr>
          <w:color w:val="008080"/>
        </w:rPr>
        <w:t>11</w:t>
      </w:r>
      <w:r>
        <w:rPr>
          <w:color w:val="008080"/>
          <w:spacing w:val="-20"/>
        </w:rPr>
        <w:t xml:space="preserve"> 期。</w:t>
      </w:r>
    </w:p>
    <w:p>
      <w:pPr>
        <w:pStyle w:val="3"/>
        <w:spacing w:before="1"/>
        <w:ind w:left="753"/>
      </w:pPr>
      <w:r>
        <w:t xml:space="preserve"> </w:t>
      </w:r>
    </w:p>
    <w:p>
      <w:pPr>
        <w:pStyle w:val="3"/>
        <w:spacing w:before="161"/>
        <w:ind w:left="753"/>
      </w:pPr>
      <w:r>
        <w:t>（七）引用英文报刊文章和书籍的基本格式为：</w:t>
      </w:r>
    </w:p>
    <w:p>
      <w:pPr>
        <w:pStyle w:val="3"/>
        <w:spacing w:before="160" w:line="369" w:lineRule="auto"/>
        <w:ind w:firstLine="407"/>
        <w:rPr>
          <w:rFonts w:ascii="Calibri" w:eastAsia="Calibri"/>
          <w:lang w:val="en-US"/>
        </w:rPr>
      </w:pPr>
      <w:r>
        <w:rPr>
          <w:color w:val="008080"/>
        </w:rPr>
        <w:t>〔</w:t>
      </w:r>
      <w:r>
        <w:rPr>
          <w:color w:val="008080"/>
          <w:lang w:val="en-US"/>
        </w:rPr>
        <w:t xml:space="preserve"> 18 </w:t>
      </w:r>
      <w:r>
        <w:rPr>
          <w:color w:val="008080"/>
        </w:rPr>
        <w:t>〕</w:t>
      </w:r>
      <w:r>
        <w:rPr>
          <w:color w:val="008080"/>
          <w:lang w:val="en-US"/>
        </w:rPr>
        <w:t xml:space="preserve"> </w:t>
      </w:r>
      <w:r>
        <w:rPr>
          <w:rFonts w:ascii="Calibri" w:eastAsia="Calibri"/>
          <w:color w:val="008080"/>
          <w:lang w:val="en-US"/>
        </w:rPr>
        <w:t xml:space="preserve">Charles A. Reich, </w:t>
      </w:r>
      <w:r>
        <w:rPr>
          <w:rFonts w:ascii="Calibri" w:eastAsia="Calibri"/>
          <w:i/>
          <w:color w:val="008080"/>
          <w:lang w:val="en-US"/>
        </w:rPr>
        <w:t>The New Property</w:t>
      </w:r>
      <w:r>
        <w:rPr>
          <w:rFonts w:ascii="Calibri" w:eastAsia="Calibri"/>
          <w:color w:val="008080"/>
          <w:lang w:val="en-US"/>
        </w:rPr>
        <w:t>, 73 Yale Law Journal 733, 737-38 (1964).</w:t>
      </w:r>
    </w:p>
    <w:p>
      <w:pPr>
        <w:spacing w:before="11" w:line="369" w:lineRule="auto"/>
        <w:ind w:left="345" w:right="218" w:firstLine="424"/>
        <w:rPr>
          <w:rFonts w:ascii="Calibri" w:eastAsia="Calibri"/>
          <w:sz w:val="24"/>
        </w:rPr>
      </w:pPr>
      <w:r>
        <w:rPr>
          <w:color w:val="008080"/>
          <w:sz w:val="24"/>
        </w:rPr>
        <w:t>〔19</w:t>
      </w:r>
      <w:r>
        <w:rPr>
          <w:color w:val="008080"/>
          <w:spacing w:val="-37"/>
          <w:sz w:val="24"/>
        </w:rPr>
        <w:t xml:space="preserve">〕 </w:t>
      </w:r>
      <w:r>
        <w:rPr>
          <w:rFonts w:ascii="Calibri" w:eastAsia="Calibri"/>
          <w:color w:val="008080"/>
          <w:sz w:val="24"/>
        </w:rPr>
        <w:t>Louis D</w:t>
      </w:r>
      <w:r>
        <w:rPr>
          <w:rFonts w:ascii="Calibri" w:eastAsia="Calibri"/>
          <w:color w:val="008080"/>
          <w:spacing w:val="-8"/>
          <w:sz w:val="24"/>
        </w:rPr>
        <w:t xml:space="preserve">. </w:t>
      </w:r>
      <w:r>
        <w:rPr>
          <w:rFonts w:ascii="Calibri" w:eastAsia="Calibri"/>
          <w:color w:val="008080"/>
          <w:sz w:val="24"/>
        </w:rPr>
        <w:t>Brandeis</w:t>
      </w:r>
      <w:r>
        <w:rPr>
          <w:rFonts w:ascii="Calibri" w:eastAsia="Calibri"/>
          <w:color w:val="008080"/>
          <w:spacing w:val="-8"/>
          <w:sz w:val="24"/>
        </w:rPr>
        <w:t xml:space="preserve">, </w:t>
      </w:r>
      <w:r>
        <w:rPr>
          <w:rFonts w:ascii="Calibri" w:eastAsia="Calibri"/>
          <w:i/>
          <w:color w:val="008080"/>
          <w:sz w:val="24"/>
        </w:rPr>
        <w:t>What Publicity Can Do</w:t>
      </w:r>
      <w:r>
        <w:rPr>
          <w:rFonts w:ascii="Calibri" w:eastAsia="Calibri"/>
          <w:color w:val="008080"/>
          <w:spacing w:val="-8"/>
          <w:sz w:val="24"/>
        </w:rPr>
        <w:t xml:space="preserve">, </w:t>
      </w:r>
      <w:r>
        <w:rPr>
          <w:rFonts w:ascii="Calibri" w:eastAsia="Calibri"/>
          <w:color w:val="008080"/>
          <w:sz w:val="24"/>
        </w:rPr>
        <w:t xml:space="preserve">Harper's </w:t>
      </w:r>
      <w:r>
        <w:rPr>
          <w:rFonts w:ascii="Calibri" w:eastAsia="Calibri"/>
          <w:color w:val="008080"/>
          <w:spacing w:val="-5"/>
          <w:sz w:val="24"/>
        </w:rPr>
        <w:t>Weekly</w:t>
      </w:r>
      <w:r>
        <w:rPr>
          <w:rFonts w:ascii="Calibri" w:eastAsia="Calibri"/>
          <w:color w:val="008080"/>
          <w:spacing w:val="-10"/>
          <w:sz w:val="24"/>
        </w:rPr>
        <w:t xml:space="preserve">, </w:t>
      </w:r>
      <w:r>
        <w:rPr>
          <w:rFonts w:ascii="Calibri" w:eastAsia="Calibri"/>
          <w:color w:val="008080"/>
          <w:sz w:val="24"/>
        </w:rPr>
        <w:t>Dec. 20</w:t>
      </w:r>
      <w:r>
        <w:rPr>
          <w:rFonts w:ascii="Calibri" w:eastAsia="Calibri"/>
          <w:color w:val="008080"/>
          <w:spacing w:val="-9"/>
          <w:sz w:val="24"/>
        </w:rPr>
        <w:t xml:space="preserve">, </w:t>
      </w:r>
      <w:r>
        <w:rPr>
          <w:rFonts w:ascii="Calibri" w:eastAsia="Calibri"/>
          <w:color w:val="008080"/>
          <w:sz w:val="24"/>
        </w:rPr>
        <w:t>1913, p.10.</w:t>
      </w:r>
    </w:p>
    <w:p>
      <w:pPr>
        <w:tabs>
          <w:tab w:val="left" w:pos="1737"/>
        </w:tabs>
        <w:spacing w:before="12" w:line="372" w:lineRule="auto"/>
        <w:ind w:left="345" w:right="360" w:firstLine="407"/>
        <w:rPr>
          <w:rFonts w:ascii="Calibri" w:eastAsia="Calibri"/>
          <w:sz w:val="24"/>
        </w:rPr>
      </w:pPr>
      <w:r>
        <w:rPr>
          <w:color w:val="008080"/>
          <w:spacing w:val="21"/>
          <w:sz w:val="24"/>
        </w:rPr>
        <w:t>〔</w:t>
      </w:r>
      <w:r>
        <w:rPr>
          <w:color w:val="008080"/>
          <w:sz w:val="24"/>
        </w:rPr>
        <w:t>20</w:t>
      </w:r>
      <w:r>
        <w:rPr>
          <w:color w:val="008080"/>
          <w:spacing w:val="-99"/>
          <w:sz w:val="24"/>
        </w:rPr>
        <w:t xml:space="preserve"> </w:t>
      </w:r>
      <w:r>
        <w:rPr>
          <w:color w:val="008080"/>
          <w:sz w:val="24"/>
        </w:rPr>
        <w:t>〕</w:t>
      </w:r>
      <w:r>
        <w:rPr>
          <w:color w:val="008080"/>
          <w:sz w:val="24"/>
        </w:rPr>
        <w:tab/>
      </w:r>
      <w:r>
        <w:rPr>
          <w:rFonts w:ascii="Calibri" w:eastAsia="Calibri"/>
          <w:color w:val="008080"/>
          <w:sz w:val="24"/>
        </w:rPr>
        <w:t xml:space="preserve">William Alford, </w:t>
      </w:r>
      <w:r>
        <w:rPr>
          <w:rFonts w:ascii="Calibri" w:eastAsia="Calibri"/>
          <w:i/>
          <w:color w:val="008080"/>
          <w:spacing w:val="-10"/>
          <w:sz w:val="24"/>
        </w:rPr>
        <w:t xml:space="preserve">To </w:t>
      </w:r>
      <w:r>
        <w:rPr>
          <w:rFonts w:ascii="Calibri" w:eastAsia="Calibri"/>
          <w:i/>
          <w:color w:val="008080"/>
          <w:sz w:val="24"/>
        </w:rPr>
        <w:t>Steal a Book is an Elegant Offense: Intellectual Property Law in Chinese Civilization</w:t>
      </w:r>
      <w:r>
        <w:rPr>
          <w:rFonts w:ascii="Calibri" w:eastAsia="Calibri"/>
          <w:color w:val="008080"/>
          <w:sz w:val="24"/>
        </w:rPr>
        <w:t>, Stanford University Press, 1995,</w:t>
      </w:r>
      <w:r>
        <w:rPr>
          <w:rFonts w:ascii="Calibri" w:eastAsia="Calibri"/>
          <w:color w:val="008080"/>
          <w:spacing w:val="-20"/>
          <w:sz w:val="24"/>
        </w:rPr>
        <w:t xml:space="preserve"> </w:t>
      </w:r>
      <w:r>
        <w:rPr>
          <w:rFonts w:ascii="Calibri" w:eastAsia="Calibri"/>
          <w:color w:val="008080"/>
          <w:sz w:val="24"/>
        </w:rPr>
        <w:t>p.98.</w:t>
      </w:r>
    </w:p>
    <w:p>
      <w:pPr>
        <w:spacing w:line="372" w:lineRule="auto"/>
        <w:rPr>
          <w:rFonts w:ascii="Calibri" w:eastAsia="Calibri"/>
          <w:sz w:val="24"/>
        </w:rPr>
        <w:sectPr>
          <w:pgSz w:w="11910" w:h="16840"/>
          <w:pgMar w:top="1460" w:right="1440" w:bottom="1240" w:left="1640" w:header="0" w:footer="1051"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ThmOTE1NWZmNTUwNjliZjViYTkxZTA1NWJiY2YifQ=="/>
  </w:docVars>
  <w:rsids>
    <w:rsidRoot w:val="042C18ED"/>
    <w:rsid w:val="042C18ED"/>
    <w:rsid w:val="4681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cs="Calibri" w:eastAsiaTheme="minorEastAsia"/>
      <w:b/>
      <w:bCs/>
      <w:kern w:val="44"/>
      <w:sz w:val="44"/>
      <w:szCs w:val="4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autoRedefine/>
    <w:qFormat/>
    <w:uiPriority w:val="1"/>
    <w:pPr>
      <w:autoSpaceDE w:val="0"/>
      <w:autoSpaceDN w:val="0"/>
      <w:ind w:left="345"/>
      <w:jc w:val="left"/>
    </w:pPr>
    <w:rPr>
      <w:rFonts w:ascii="宋体" w:hAnsi="宋体" w:cs="宋体"/>
      <w:kern w:val="0"/>
      <w:sz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2022-06-02T08:02:00Z</dcterms:created>
  <dc:creator>云</dc:creator>
  <cp:lastModifiedBy>伟立</cp:lastModifiedBy>
  <dcterms:modified xsi:type="dcterms:W3CDTF">2024-05-08T00:10:40Z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0597F94B728448CC875971E58B9520C9_13</vt:lpwstr>
  </property>
</Properties>
</file>