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jc w:val="center"/>
        <w:rPr>
          <w:rFonts w:ascii="华文中宋" w:hAnsi="华文中宋" w:eastAsia="华文中宋" w:cs="Times New Roman"/>
          <w:sz w:val="44"/>
          <w:szCs w:val="44"/>
        </w:rPr>
      </w:pPr>
      <w:bookmarkStart w:id="0" w:name="_GoBack"/>
      <w:bookmarkEnd w:id="0"/>
    </w:p>
    <w:p>
      <w:pPr>
        <w:adjustRightInd w:val="0"/>
        <w:snapToGrid w:val="0"/>
        <w:spacing w:line="600" w:lineRule="exact"/>
        <w:jc w:val="center"/>
        <w:rPr>
          <w:rFonts w:ascii="华文中宋" w:hAnsi="华文中宋" w:eastAsia="华文中宋" w:cs="Times New Roman"/>
          <w:sz w:val="36"/>
          <w:szCs w:val="36"/>
        </w:rPr>
      </w:pPr>
      <w:r>
        <w:rPr>
          <w:rFonts w:hint="eastAsia" w:ascii="华文中宋" w:hAnsi="华文中宋" w:eastAsia="华文中宋" w:cs="华文中宋"/>
          <w:sz w:val="36"/>
          <w:szCs w:val="36"/>
        </w:rPr>
        <w:t>关于做好各重点领域“十三五”专项规划和二级单位事业发展规划编制工作的通知</w:t>
      </w:r>
    </w:p>
    <w:p>
      <w:pPr>
        <w:adjustRightInd w:val="0"/>
        <w:snapToGrid w:val="0"/>
        <w:spacing w:line="600" w:lineRule="exact"/>
        <w:rPr>
          <w:rFonts w:ascii="仿宋_GB2312" w:eastAsia="仿宋_GB2312" w:cs="Times New Roman"/>
          <w:sz w:val="32"/>
          <w:szCs w:val="32"/>
        </w:rPr>
      </w:pPr>
    </w:p>
    <w:p>
      <w:pPr>
        <w:adjustRightInd w:val="0"/>
        <w:snapToGrid w:val="0"/>
        <w:spacing w:line="600" w:lineRule="exact"/>
        <w:rPr>
          <w:rFonts w:ascii="仿宋_GB2312" w:eastAsia="仿宋_GB2312" w:cs="Times New Roman"/>
          <w:sz w:val="32"/>
          <w:szCs w:val="32"/>
        </w:rPr>
      </w:pPr>
    </w:p>
    <w:p>
      <w:pPr>
        <w:adjustRightInd w:val="0"/>
        <w:snapToGrid w:val="0"/>
        <w:spacing w:line="600" w:lineRule="exact"/>
        <w:rPr>
          <w:rFonts w:ascii="仿宋_GB2312" w:eastAsia="仿宋_GB2312" w:cs="Times New Roman"/>
          <w:sz w:val="32"/>
          <w:szCs w:val="32"/>
        </w:rPr>
      </w:pPr>
      <w:r>
        <w:rPr>
          <w:rFonts w:hint="eastAsia" w:ascii="仿宋_GB2312" w:eastAsia="仿宋_GB2312" w:cs="仿宋_GB2312"/>
          <w:sz w:val="32"/>
          <w:szCs w:val="32"/>
        </w:rPr>
        <w:t>各学院、各部处、各单位：</w:t>
      </w:r>
    </w:p>
    <w:p>
      <w:pPr>
        <w:pStyle w:val="11"/>
        <w:ind w:firstLine="630"/>
        <w:rPr>
          <w:rFonts w:eastAsia="仿宋_GB2312" w:cs="Times New Roman"/>
          <w:sz w:val="32"/>
          <w:szCs w:val="32"/>
        </w:rPr>
      </w:pPr>
      <w:r>
        <w:rPr>
          <w:rFonts w:hint="eastAsia" w:eastAsia="仿宋_GB2312"/>
          <w:sz w:val="32"/>
          <w:szCs w:val="32"/>
        </w:rPr>
        <w:t>根</w:t>
      </w:r>
      <w:r>
        <w:rPr>
          <w:rFonts w:hint="eastAsia" w:hAnsi="Calibri" w:eastAsia="仿宋_GB2312"/>
          <w:color w:val="auto"/>
          <w:kern w:val="2"/>
          <w:sz w:val="32"/>
          <w:szCs w:val="32"/>
        </w:rPr>
        <w:t>据《华南师范大学</w:t>
      </w:r>
      <w:r>
        <w:rPr>
          <w:rFonts w:hAnsi="Calibri" w:eastAsia="仿宋_GB2312" w:cs="Calibri"/>
          <w:color w:val="auto"/>
          <w:kern w:val="2"/>
          <w:sz w:val="32"/>
          <w:szCs w:val="32"/>
        </w:rPr>
        <w:t>“</w:t>
      </w:r>
      <w:r>
        <w:rPr>
          <w:rFonts w:hint="eastAsia" w:hAnsi="Calibri" w:eastAsia="仿宋_GB2312"/>
          <w:color w:val="auto"/>
          <w:kern w:val="2"/>
          <w:sz w:val="32"/>
          <w:szCs w:val="32"/>
        </w:rPr>
        <w:t>十三五</w:t>
      </w:r>
      <w:r>
        <w:rPr>
          <w:rFonts w:hAnsi="Calibri" w:eastAsia="仿宋_GB2312" w:cs="Calibri"/>
          <w:color w:val="auto"/>
          <w:kern w:val="2"/>
          <w:sz w:val="32"/>
          <w:szCs w:val="32"/>
        </w:rPr>
        <w:t>”</w:t>
      </w:r>
      <w:r>
        <w:rPr>
          <w:rFonts w:hint="eastAsia" w:hAnsi="Calibri" w:eastAsia="仿宋_GB2312"/>
          <w:color w:val="auto"/>
          <w:kern w:val="2"/>
          <w:sz w:val="32"/>
          <w:szCs w:val="32"/>
        </w:rPr>
        <w:t>事业发展规划编制工作方案》（</w:t>
      </w:r>
      <w:r>
        <w:rPr>
          <w:rFonts w:hint="eastAsia" w:eastAsia="仿宋_GB2312"/>
          <w:sz w:val="32"/>
          <w:szCs w:val="32"/>
        </w:rPr>
        <w:t>华师〔</w:t>
      </w:r>
      <w:r>
        <w:rPr>
          <w:rFonts w:eastAsia="仿宋_GB2312"/>
          <w:sz w:val="32"/>
          <w:szCs w:val="32"/>
        </w:rPr>
        <w:t>2015</w:t>
      </w:r>
      <w:r>
        <w:rPr>
          <w:rFonts w:hint="eastAsia" w:eastAsia="仿宋_GB2312"/>
          <w:sz w:val="32"/>
          <w:szCs w:val="32"/>
        </w:rPr>
        <w:t>〕</w:t>
      </w:r>
      <w:r>
        <w:rPr>
          <w:rFonts w:eastAsia="仿宋_GB2312"/>
          <w:sz w:val="32"/>
          <w:szCs w:val="32"/>
        </w:rPr>
        <w:t>151</w:t>
      </w:r>
      <w:r>
        <w:rPr>
          <w:rFonts w:hint="eastAsia" w:eastAsia="仿宋_GB2312"/>
          <w:sz w:val="32"/>
          <w:szCs w:val="32"/>
        </w:rPr>
        <w:t>号）安排和学校实际，自</w:t>
      </w:r>
      <w:r>
        <w:rPr>
          <w:rFonts w:eastAsia="仿宋_GB2312"/>
          <w:sz w:val="32"/>
          <w:szCs w:val="32"/>
        </w:rPr>
        <w:t>12</w:t>
      </w:r>
      <w:r>
        <w:rPr>
          <w:rFonts w:hint="eastAsia" w:eastAsia="仿宋_GB2312"/>
          <w:sz w:val="32"/>
          <w:szCs w:val="32"/>
        </w:rPr>
        <w:t>月</w:t>
      </w:r>
      <w:r>
        <w:rPr>
          <w:rFonts w:eastAsia="仿宋_GB2312"/>
          <w:sz w:val="32"/>
          <w:szCs w:val="32"/>
        </w:rPr>
        <w:t>10</w:t>
      </w:r>
      <w:r>
        <w:rPr>
          <w:rFonts w:hint="eastAsia" w:eastAsia="仿宋_GB2312"/>
          <w:sz w:val="32"/>
          <w:szCs w:val="32"/>
        </w:rPr>
        <w:t>日起，学校“十三五”规划编制工作已转入规划编制起草阶段。现就做好学校各重点领域专项规划和二级单位事业发展规划编制工作有关事项通知如下：</w:t>
      </w:r>
    </w:p>
    <w:p>
      <w:pPr>
        <w:pStyle w:val="11"/>
        <w:ind w:firstLine="630"/>
        <w:rPr>
          <w:rFonts w:ascii="黑体" w:hAnsi="黑体" w:eastAsia="黑体" w:cs="Times New Roman"/>
          <w:sz w:val="32"/>
          <w:szCs w:val="32"/>
        </w:rPr>
      </w:pPr>
      <w:r>
        <w:rPr>
          <w:rFonts w:hint="eastAsia" w:ascii="黑体" w:hAnsi="黑体" w:eastAsia="黑体" w:cs="黑体"/>
          <w:sz w:val="32"/>
          <w:szCs w:val="32"/>
        </w:rPr>
        <w:t>一、工作要求</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一）高度重视、领导牵头。各二级单位和职能部门要高度重视“十三五”规划编制工作，学校将会把“十三五”规划编制情况作为今后高水平大学建设经费安排的重要依据。按照学校“十三五”规划编制工作方案的分工安排，各专项规划要成立由相关校领导牵头，相应职能部门组成的编制工作组；各二级单位要成立由单位党政主要负责人牵头的规划编制工作组。相关职能部门和各二级单位负责人要亲自抓好“十三五”规划编制工作。</w:t>
      </w: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二）总结经验、对标先进。认真梳理前期调研成果，注意借鉴先进做法和经验，结合本单位实际做好规划编制工作。各专项规划编制要注意分析本领域专项工作中先进院校的做法和经验，二级单位规划编制要研究分析竞争对手的有关信息材料和发展动态。</w:t>
      </w: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三）认真学习、强化落实。要认真学习领会国家和广东省关于制定“十三五”规划的有关政策意见和建议，贯彻落实国家“统筹推进世界一流大学和一流学科建设”、广东省建设高水平大学等有关政策精神，特别要紧密结合学校高水平大学建设总体规划和改革方案提出的相关战略目标、主要任务和重大举措，切实找到“十三五”期间发展的突破口和着力点。要充分吸收目前本重点领域或本学科普遍关注的竞争性指标，提出可衡量和可考核的量化指标。规划要具有针对性和可操作性，为将来的组织实施做好准备，提出的目标、任务和举措要符合实际，切实可行。</w:t>
      </w: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四）发扬民主、程序规范。规划编制过程中要广泛听取和充分吸收广大师生的意见建议，各重点领域专项规划的编制须经相关职能部门与分管校领导充分沟通酝酿，要召开师生代表和管理服务对象代表座谈会征求意见；规划文本须经分管校领导审阅同意后方可提交。各二级单位规划的编制须经本单位党政领导班子充分讨论沟通，要召开本单位师生代表座谈会征求意见；规划文本须经本单位学术分委员会、教代会充分讨论，并由本单位党政联席会议审议通过方可提交。</w:t>
      </w:r>
    </w:p>
    <w:p>
      <w:pPr>
        <w:pStyle w:val="11"/>
        <w:ind w:firstLine="630"/>
        <w:rPr>
          <w:rFonts w:ascii="黑体" w:hAnsi="黑体" w:eastAsia="黑体" w:cs="Times New Roman"/>
          <w:color w:val="auto"/>
          <w:kern w:val="2"/>
          <w:sz w:val="32"/>
          <w:szCs w:val="32"/>
        </w:rPr>
      </w:pPr>
      <w:r>
        <w:rPr>
          <w:rFonts w:hint="eastAsia" w:ascii="黑体" w:hAnsi="黑体" w:eastAsia="黑体" w:cs="黑体"/>
          <w:color w:val="auto"/>
          <w:kern w:val="2"/>
          <w:sz w:val="32"/>
          <w:szCs w:val="32"/>
        </w:rPr>
        <w:t>二、主要内容</w:t>
      </w:r>
    </w:p>
    <w:p>
      <w:pPr>
        <w:adjustRightInd w:val="0"/>
        <w:snapToGrid w:val="0"/>
        <w:spacing w:line="600" w:lineRule="exact"/>
        <w:ind w:firstLine="645"/>
        <w:rPr>
          <w:rFonts w:ascii="仿宋_GB2312" w:eastAsia="仿宋_GB2312" w:cs="Times New Roman"/>
          <w:sz w:val="32"/>
          <w:szCs w:val="32"/>
        </w:rPr>
      </w:pPr>
      <w:r>
        <w:rPr>
          <w:rFonts w:hint="eastAsia" w:eastAsia="仿宋_GB2312" w:cs="仿宋_GB2312"/>
          <w:sz w:val="32"/>
          <w:szCs w:val="32"/>
        </w:rPr>
        <w:t>（一）基本形势与现实基础。各重点领域专项规划和各二级单位规划要认真分析面临的形势与挑战，</w:t>
      </w:r>
      <w:r>
        <w:rPr>
          <w:rFonts w:hint="eastAsia" w:ascii="仿宋_GB2312" w:eastAsia="仿宋_GB2312" w:cs="仿宋_GB2312"/>
          <w:sz w:val="32"/>
          <w:szCs w:val="32"/>
        </w:rPr>
        <w:t>要准确把握国家和广东区域经济社会发展新需求，结合学校高水平大学建设的实际，深刻认识本领域或本单位面临的改革发展形势。要以国内外高水平大学为标杆，通过对比分析，反映本重点领域或本学科在全国普通高校和同类高校中所处的位置（含特色优势）和存在的问题及差距，客观简要描述支撑本重点领域或本学科改革发展的现实基础。</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二）指导思想与基本思路。要充分结合国家统筹推进“世界一流大学和一流学科建设”的精神以及学校高水平大学建设的总体要求，按照学校关于“十三五”规划要突出体现内涵发展、创新发展和特色发展的基本理念，提炼形成本重点领域或本单位规划的指导思想和基本思路。</w:t>
      </w:r>
    </w:p>
    <w:p>
      <w:pPr>
        <w:pStyle w:val="11"/>
        <w:ind w:firstLine="630"/>
        <w:jc w:val="both"/>
        <w:rPr>
          <w:rFonts w:eastAsia="仿宋_GB2312" w:cs="Times New Roman"/>
          <w:sz w:val="32"/>
          <w:szCs w:val="32"/>
        </w:rPr>
      </w:pPr>
      <w:r>
        <w:rPr>
          <w:rFonts w:hint="eastAsia" w:hAnsi="Calibri" w:eastAsia="仿宋_GB2312"/>
          <w:color w:val="auto"/>
          <w:kern w:val="2"/>
          <w:sz w:val="32"/>
          <w:szCs w:val="32"/>
        </w:rPr>
        <w:t>（三）目标定位与任务举措。各专项规划</w:t>
      </w:r>
      <w:r>
        <w:rPr>
          <w:rFonts w:hint="eastAsia" w:eastAsia="仿宋_GB2312"/>
          <w:sz w:val="32"/>
          <w:szCs w:val="32"/>
        </w:rPr>
        <w:t>要提出与学校高水平大学建设目标定位相适应的总体目标，并分解为具体年度目标。各二级单位要结合本单位实际，提出本单位“十三五”事业发展的总体目标，并按领域分解为专项目标和年度目标。目标表述要求定性与定量描述结合。</w:t>
      </w:r>
    </w:p>
    <w:p>
      <w:pPr>
        <w:pStyle w:val="11"/>
        <w:ind w:firstLine="630"/>
        <w:jc w:val="both"/>
        <w:rPr>
          <w:rFonts w:hAnsi="Calibri" w:eastAsia="仿宋_GB2312"/>
          <w:color w:val="auto"/>
          <w:kern w:val="2"/>
          <w:sz w:val="32"/>
          <w:szCs w:val="32"/>
        </w:rPr>
      </w:pPr>
      <w:r>
        <w:rPr>
          <w:rFonts w:hint="eastAsia" w:hAnsi="Calibri" w:eastAsia="仿宋_GB2312"/>
          <w:color w:val="auto"/>
          <w:kern w:val="2"/>
          <w:sz w:val="32"/>
          <w:szCs w:val="32"/>
        </w:rPr>
        <w:t>各专项规划和二级单位规划要围绕总体目标和年度目标，具体提出本规划的主要任务与年度举措。任务举措要能</w:t>
      </w:r>
      <w:r>
        <w:rPr>
          <w:rFonts w:hint="eastAsia" w:eastAsia="仿宋_GB2312"/>
          <w:sz w:val="32"/>
          <w:szCs w:val="32"/>
        </w:rPr>
        <w:t>与学校高水平大学建设与改革的相关举措相衔接，</w:t>
      </w:r>
      <w:r>
        <w:rPr>
          <w:rFonts w:hint="eastAsia" w:hAnsi="Calibri" w:eastAsia="仿宋_GB2312"/>
          <w:color w:val="auto"/>
          <w:kern w:val="2"/>
          <w:sz w:val="32"/>
          <w:szCs w:val="32"/>
        </w:rPr>
        <w:t>要注意有针对性地破解本专项工作或本单位事业发展的难题，</w:t>
      </w:r>
      <w:r>
        <w:rPr>
          <w:rFonts w:hint="eastAsia" w:eastAsia="仿宋_GB2312"/>
          <w:sz w:val="32"/>
          <w:szCs w:val="32"/>
        </w:rPr>
        <w:t>找准深化改革、促进发展的着力点，对实现发展目标形成有力支撑。</w:t>
      </w:r>
      <w:r>
        <w:rPr>
          <w:rFonts w:hAnsi="Calibri" w:eastAsia="仿宋_GB2312"/>
          <w:color w:val="auto"/>
          <w:kern w:val="2"/>
          <w:sz w:val="32"/>
          <w:szCs w:val="32"/>
        </w:rPr>
        <w:t xml:space="preserve">  </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（四）保障措施与经费预算。</w:t>
      </w:r>
      <w:r>
        <w:rPr>
          <w:rFonts w:hint="eastAsia" w:eastAsia="仿宋_GB2312"/>
          <w:sz w:val="32"/>
          <w:szCs w:val="32"/>
        </w:rPr>
        <w:t>概要说明有效保障规划组织实施的经费预算安排与运行保障机制等。</w:t>
      </w:r>
    </w:p>
    <w:p>
      <w:pPr>
        <w:pStyle w:val="11"/>
        <w:ind w:firstLine="630"/>
        <w:rPr>
          <w:rFonts w:ascii="黑体" w:hAnsi="黑体" w:eastAsia="黑体" w:cs="Times New Roman"/>
          <w:color w:val="auto"/>
          <w:kern w:val="2"/>
          <w:sz w:val="32"/>
          <w:szCs w:val="32"/>
        </w:rPr>
      </w:pPr>
      <w:r>
        <w:rPr>
          <w:rFonts w:hint="eastAsia" w:ascii="黑体" w:hAnsi="黑体" w:eastAsia="黑体" w:cs="黑体"/>
          <w:color w:val="auto"/>
          <w:kern w:val="2"/>
          <w:sz w:val="32"/>
          <w:szCs w:val="32"/>
        </w:rPr>
        <w:t>三、时间安排</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（一）</w:t>
      </w:r>
      <w:r>
        <w:rPr>
          <w:rFonts w:hAnsi="Calibri" w:eastAsia="仿宋_GB2312"/>
          <w:color w:val="auto"/>
          <w:kern w:val="2"/>
          <w:sz w:val="32"/>
          <w:szCs w:val="32"/>
        </w:rPr>
        <w:t>12</w:t>
      </w:r>
      <w:r>
        <w:rPr>
          <w:rFonts w:hint="eastAsia" w:hAnsi="Calibri" w:eastAsia="仿宋_GB2312"/>
          <w:color w:val="auto"/>
          <w:kern w:val="2"/>
          <w:sz w:val="32"/>
          <w:szCs w:val="32"/>
        </w:rPr>
        <w:t>月</w:t>
      </w:r>
      <w:r>
        <w:rPr>
          <w:rFonts w:hAnsi="Calibri" w:eastAsia="仿宋_GB2312"/>
          <w:color w:val="auto"/>
          <w:kern w:val="2"/>
          <w:sz w:val="32"/>
          <w:szCs w:val="32"/>
        </w:rPr>
        <w:t>1</w:t>
      </w:r>
      <w:r>
        <w:rPr>
          <w:rFonts w:hint="eastAsia" w:hAnsi="Calibri" w:eastAsia="仿宋_GB2312"/>
          <w:color w:val="auto"/>
          <w:kern w:val="2"/>
          <w:sz w:val="32"/>
          <w:szCs w:val="32"/>
        </w:rPr>
        <w:t>8日（星期五）下午</w:t>
      </w:r>
      <w:r>
        <w:rPr>
          <w:rFonts w:hAnsi="Calibri" w:eastAsia="仿宋_GB2312"/>
          <w:color w:val="auto"/>
          <w:kern w:val="2"/>
          <w:sz w:val="32"/>
          <w:szCs w:val="32"/>
        </w:rPr>
        <w:t>5</w:t>
      </w:r>
      <w:r>
        <w:rPr>
          <w:rFonts w:hint="eastAsia" w:hAnsi="Calibri" w:eastAsia="仿宋_GB2312"/>
          <w:color w:val="auto"/>
          <w:kern w:val="2"/>
          <w:sz w:val="32"/>
          <w:szCs w:val="32"/>
        </w:rPr>
        <w:t>：</w:t>
      </w:r>
      <w:r>
        <w:rPr>
          <w:rFonts w:hAnsi="Calibri" w:eastAsia="仿宋_GB2312"/>
          <w:color w:val="auto"/>
          <w:kern w:val="2"/>
          <w:sz w:val="32"/>
          <w:szCs w:val="32"/>
        </w:rPr>
        <w:t>00</w:t>
      </w:r>
      <w:r>
        <w:rPr>
          <w:rFonts w:hint="eastAsia" w:hAnsi="Calibri" w:eastAsia="仿宋_GB2312"/>
          <w:color w:val="auto"/>
          <w:kern w:val="2"/>
          <w:sz w:val="32"/>
          <w:szCs w:val="32"/>
        </w:rPr>
        <w:t>前，相关职能部门和各二级单位将本单位规划编制工作组成员及联系人名单（含联系人的联系方式）提交至发展规划处备案，同时发送电子版到指定邮箱。</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（二）</w:t>
      </w:r>
      <w:r>
        <w:rPr>
          <w:rFonts w:hAnsi="Calibri" w:eastAsia="仿宋_GB2312"/>
          <w:color w:val="auto"/>
          <w:kern w:val="2"/>
          <w:sz w:val="32"/>
          <w:szCs w:val="32"/>
        </w:rPr>
        <w:t>2016</w:t>
      </w:r>
      <w:r>
        <w:rPr>
          <w:rFonts w:hint="eastAsia" w:hAnsi="Calibri" w:eastAsia="仿宋_GB2312"/>
          <w:color w:val="auto"/>
          <w:kern w:val="2"/>
          <w:sz w:val="32"/>
          <w:szCs w:val="32"/>
        </w:rPr>
        <w:t>年</w:t>
      </w:r>
      <w:r>
        <w:rPr>
          <w:rFonts w:hAnsi="Calibri" w:eastAsia="仿宋_GB2312"/>
          <w:color w:val="auto"/>
          <w:kern w:val="2"/>
          <w:sz w:val="32"/>
          <w:szCs w:val="32"/>
        </w:rPr>
        <w:t>1</w:t>
      </w:r>
      <w:r>
        <w:rPr>
          <w:rFonts w:hint="eastAsia" w:hAnsi="Calibri" w:eastAsia="仿宋_GB2312"/>
          <w:color w:val="auto"/>
          <w:kern w:val="2"/>
          <w:sz w:val="32"/>
          <w:szCs w:val="32"/>
        </w:rPr>
        <w:t>月</w:t>
      </w:r>
      <w:r>
        <w:rPr>
          <w:rFonts w:hAnsi="Calibri" w:eastAsia="仿宋_GB2312"/>
          <w:color w:val="auto"/>
          <w:kern w:val="2"/>
          <w:sz w:val="32"/>
          <w:szCs w:val="32"/>
        </w:rPr>
        <w:t>7</w:t>
      </w:r>
      <w:r>
        <w:rPr>
          <w:rFonts w:hint="eastAsia" w:hAnsi="Calibri" w:eastAsia="仿宋_GB2312"/>
          <w:color w:val="auto"/>
          <w:kern w:val="2"/>
          <w:sz w:val="32"/>
          <w:szCs w:val="32"/>
        </w:rPr>
        <w:t>日（星期四）下午</w:t>
      </w:r>
      <w:r>
        <w:rPr>
          <w:rFonts w:hAnsi="Calibri" w:eastAsia="仿宋_GB2312"/>
          <w:color w:val="auto"/>
          <w:kern w:val="2"/>
          <w:sz w:val="32"/>
          <w:szCs w:val="32"/>
        </w:rPr>
        <w:t>5:00</w:t>
      </w:r>
      <w:r>
        <w:rPr>
          <w:rFonts w:hint="eastAsia" w:hAnsi="Calibri" w:eastAsia="仿宋_GB2312"/>
          <w:color w:val="auto"/>
          <w:kern w:val="2"/>
          <w:sz w:val="32"/>
          <w:szCs w:val="32"/>
        </w:rPr>
        <w:t>前，各专项规划和二级单位规划编制工作组将规划文本纸质版一式一份提交至发展规划处汇总，同时发送电子版到指定邮箱。提交要求如下：</w:t>
      </w:r>
    </w:p>
    <w:p>
      <w:pPr>
        <w:pStyle w:val="11"/>
        <w:ind w:firstLine="630"/>
        <w:jc w:val="both"/>
        <w:rPr>
          <w:rFonts w:hAnsi="Calibri" w:eastAsia="仿宋_GB2312" w:cs="Times New Roman"/>
          <w:color w:val="auto"/>
          <w:kern w:val="2"/>
          <w:sz w:val="32"/>
          <w:szCs w:val="32"/>
        </w:rPr>
      </w:pPr>
      <w:r>
        <w:rPr>
          <w:rFonts w:hAnsi="Calibri" w:eastAsia="仿宋_GB2312"/>
          <w:color w:val="auto"/>
          <w:kern w:val="2"/>
          <w:sz w:val="32"/>
          <w:szCs w:val="32"/>
        </w:rPr>
        <w:t>1.</w:t>
      </w:r>
      <w:r>
        <w:rPr>
          <w:rFonts w:hint="eastAsia" w:hAnsi="Calibri" w:eastAsia="仿宋_GB2312"/>
          <w:color w:val="auto"/>
          <w:kern w:val="2"/>
          <w:sz w:val="32"/>
          <w:szCs w:val="32"/>
        </w:rPr>
        <w:t>各重点领域专项规划须由相关部门负责人签字盖章和牵头校领导签字后提交。</w:t>
      </w:r>
    </w:p>
    <w:p>
      <w:pPr>
        <w:pStyle w:val="11"/>
        <w:ind w:firstLine="630"/>
        <w:jc w:val="both"/>
        <w:rPr>
          <w:rFonts w:hAnsi="Calibri" w:eastAsia="仿宋_GB2312" w:cs="Times New Roman"/>
          <w:color w:val="auto"/>
          <w:kern w:val="2"/>
          <w:sz w:val="32"/>
          <w:szCs w:val="32"/>
        </w:rPr>
      </w:pPr>
      <w:r>
        <w:rPr>
          <w:rFonts w:hAnsi="Calibri" w:eastAsia="仿宋_GB2312"/>
          <w:color w:val="auto"/>
          <w:kern w:val="2"/>
          <w:sz w:val="32"/>
          <w:szCs w:val="32"/>
        </w:rPr>
        <w:t>2.</w:t>
      </w:r>
      <w:r>
        <w:rPr>
          <w:rFonts w:hint="eastAsia" w:hAnsi="Calibri" w:eastAsia="仿宋_GB2312"/>
          <w:color w:val="auto"/>
          <w:kern w:val="2"/>
          <w:sz w:val="32"/>
          <w:szCs w:val="32"/>
        </w:rPr>
        <w:t>二级单位规划须由二级单位党政负责人及学术分委员会主任同时签字盖章后提交。</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（三）</w:t>
      </w:r>
      <w:r>
        <w:rPr>
          <w:rFonts w:hAnsi="Calibri" w:eastAsia="仿宋_GB2312"/>
          <w:color w:val="auto"/>
          <w:kern w:val="2"/>
          <w:sz w:val="32"/>
          <w:szCs w:val="32"/>
        </w:rPr>
        <w:t>2016</w:t>
      </w:r>
      <w:r>
        <w:rPr>
          <w:rFonts w:hint="eastAsia" w:hAnsi="Calibri" w:eastAsia="仿宋_GB2312"/>
          <w:color w:val="auto"/>
          <w:kern w:val="2"/>
          <w:sz w:val="32"/>
          <w:szCs w:val="32"/>
        </w:rPr>
        <w:t>年</w:t>
      </w:r>
      <w:r>
        <w:rPr>
          <w:rFonts w:hAnsi="Calibri" w:eastAsia="仿宋_GB2312"/>
          <w:color w:val="auto"/>
          <w:kern w:val="2"/>
          <w:sz w:val="32"/>
          <w:szCs w:val="32"/>
        </w:rPr>
        <w:t>1</w:t>
      </w:r>
      <w:r>
        <w:rPr>
          <w:rFonts w:hint="eastAsia" w:hAnsi="Calibri" w:eastAsia="仿宋_GB2312"/>
          <w:color w:val="auto"/>
          <w:kern w:val="2"/>
          <w:sz w:val="32"/>
          <w:szCs w:val="32"/>
        </w:rPr>
        <w:t>月中旬起，</w:t>
      </w:r>
      <w:r>
        <w:rPr>
          <w:rFonts w:hint="eastAsia" w:eastAsia="仿宋_GB2312"/>
          <w:sz w:val="32"/>
          <w:szCs w:val="32"/>
        </w:rPr>
        <w:t>学校“十三五”规划编制工作将转入规划论证和修改完善阶段。</w:t>
      </w:r>
      <w:r>
        <w:rPr>
          <w:rFonts w:hint="eastAsia" w:hAnsi="Calibri" w:eastAsia="仿宋_GB2312"/>
          <w:color w:val="auto"/>
          <w:kern w:val="2"/>
          <w:sz w:val="32"/>
          <w:szCs w:val="32"/>
        </w:rPr>
        <w:t>学校将适时组织校学术委员会及其专门委员会委员及相关专家对提交的规划初稿进行论证，由各规划编制工作组根据论证意见对文本进行修改完善。</w:t>
      </w:r>
    </w:p>
    <w:p>
      <w:pPr>
        <w:pStyle w:val="11"/>
        <w:ind w:firstLine="630"/>
        <w:jc w:val="both"/>
        <w:rPr>
          <w:rFonts w:hAnsi="Calibri" w:eastAsia="仿宋_GB2312" w:cs="Times New Roman"/>
          <w:color w:val="auto"/>
          <w:kern w:val="2"/>
          <w:sz w:val="32"/>
          <w:szCs w:val="32"/>
        </w:rPr>
      </w:pPr>
      <w:r>
        <w:rPr>
          <w:rFonts w:hint="eastAsia" w:hAnsi="Calibri" w:eastAsia="仿宋_GB2312"/>
          <w:color w:val="auto"/>
          <w:kern w:val="2"/>
          <w:sz w:val="32"/>
          <w:szCs w:val="32"/>
        </w:rPr>
        <w:t>联系人：王赵雄、朱德威</w:t>
      </w:r>
    </w:p>
    <w:p>
      <w:pPr>
        <w:pStyle w:val="11"/>
        <w:ind w:firstLine="630"/>
        <w:jc w:val="both"/>
        <w:rPr>
          <w:rFonts w:hAnsi="Calibri" w:eastAsia="仿宋_GB2312"/>
          <w:color w:val="auto"/>
          <w:kern w:val="2"/>
          <w:sz w:val="32"/>
          <w:szCs w:val="32"/>
        </w:rPr>
      </w:pPr>
      <w:r>
        <w:rPr>
          <w:rFonts w:hint="eastAsia" w:hAnsi="Calibri" w:eastAsia="仿宋_GB2312"/>
          <w:color w:val="auto"/>
          <w:kern w:val="2"/>
          <w:sz w:val="32"/>
          <w:szCs w:val="32"/>
        </w:rPr>
        <w:t>电话：</w:t>
      </w:r>
      <w:r>
        <w:rPr>
          <w:rFonts w:hAnsi="Calibri" w:eastAsia="仿宋_GB2312"/>
          <w:color w:val="auto"/>
          <w:kern w:val="2"/>
          <w:sz w:val="32"/>
          <w:szCs w:val="32"/>
        </w:rPr>
        <w:t>85210865</w:t>
      </w: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地址：石牌校区行政楼</w:t>
      </w:r>
      <w:r>
        <w:rPr>
          <w:rFonts w:hAnsi="Calibri" w:eastAsia="仿宋_GB2312"/>
          <w:color w:val="auto"/>
          <w:kern w:val="2"/>
          <w:sz w:val="32"/>
          <w:szCs w:val="32"/>
        </w:rPr>
        <w:t>308</w:t>
      </w:r>
      <w:r>
        <w:rPr>
          <w:rFonts w:hint="eastAsia" w:hAnsi="Calibri" w:eastAsia="仿宋_GB2312"/>
          <w:color w:val="auto"/>
          <w:kern w:val="2"/>
          <w:sz w:val="32"/>
          <w:szCs w:val="32"/>
        </w:rPr>
        <w:t>室</w:t>
      </w: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电子邮箱：</w:t>
      </w:r>
      <w:r>
        <w:fldChar w:fldCharType="begin"/>
      </w:r>
      <w:r>
        <w:instrText xml:space="preserve"> HYPERLINK "mailto:fzghb@scnu.edu.cn" </w:instrText>
      </w:r>
      <w:r>
        <w:fldChar w:fldCharType="separate"/>
      </w:r>
      <w:r>
        <w:rPr>
          <w:rStyle w:val="7"/>
          <w:rFonts w:hAnsi="Calibri" w:eastAsia="仿宋_GB2312"/>
          <w:kern w:val="2"/>
          <w:sz w:val="32"/>
          <w:szCs w:val="32"/>
        </w:rPr>
        <w:t>fzghb@scnu.edu.cn</w:t>
      </w:r>
      <w:r>
        <w:rPr>
          <w:rStyle w:val="7"/>
          <w:rFonts w:hAnsi="Calibri" w:eastAsia="仿宋_GB2312"/>
          <w:kern w:val="2"/>
          <w:sz w:val="32"/>
          <w:szCs w:val="32"/>
        </w:rPr>
        <w:fldChar w:fldCharType="end"/>
      </w:r>
    </w:p>
    <w:p>
      <w:pPr>
        <w:pStyle w:val="11"/>
        <w:ind w:firstLine="630"/>
        <w:rPr>
          <w:rFonts w:hAnsi="Calibri" w:eastAsia="仿宋_GB2312" w:cs="Times New Roman"/>
          <w:color w:val="auto"/>
          <w:kern w:val="2"/>
          <w:sz w:val="32"/>
          <w:szCs w:val="32"/>
        </w:rPr>
      </w:pPr>
    </w:p>
    <w:p>
      <w:pPr>
        <w:pStyle w:val="11"/>
        <w:ind w:firstLine="630"/>
        <w:rPr>
          <w:rFonts w:hAnsi="Calibri" w:eastAsia="仿宋_GB2312" w:cs="Times New Roman"/>
          <w:color w:val="auto"/>
          <w:kern w:val="2"/>
          <w:sz w:val="32"/>
          <w:szCs w:val="32"/>
        </w:rPr>
      </w:pPr>
      <w:r>
        <w:rPr>
          <w:rFonts w:hint="eastAsia" w:hAnsi="Calibri" w:eastAsia="仿宋_GB2312"/>
          <w:color w:val="auto"/>
          <w:kern w:val="2"/>
          <w:sz w:val="32"/>
          <w:szCs w:val="32"/>
        </w:rPr>
        <w:t>附件：</w:t>
      </w:r>
    </w:p>
    <w:p>
      <w:pPr>
        <w:pStyle w:val="11"/>
        <w:ind w:firstLine="630"/>
        <w:rPr>
          <w:rFonts w:hAnsi="Calibri" w:eastAsia="仿宋_GB2312" w:cs="Times New Roman"/>
          <w:color w:val="auto"/>
          <w:kern w:val="2"/>
          <w:sz w:val="32"/>
          <w:szCs w:val="32"/>
        </w:rPr>
      </w:pPr>
      <w:r>
        <w:rPr>
          <w:rFonts w:hAnsi="Calibri" w:eastAsia="仿宋_GB2312"/>
          <w:color w:val="auto"/>
          <w:kern w:val="2"/>
          <w:sz w:val="32"/>
          <w:szCs w:val="32"/>
        </w:rPr>
        <w:t>1.</w:t>
      </w:r>
      <w:r>
        <w:rPr>
          <w:rFonts w:hint="eastAsia" w:hAnsi="Calibri" w:eastAsia="仿宋_GB2312"/>
          <w:color w:val="auto"/>
          <w:kern w:val="2"/>
          <w:sz w:val="32"/>
          <w:szCs w:val="32"/>
        </w:rPr>
        <w:t>华南师范大学“十三五”事业发展专项规划基本内容和格式要求</w:t>
      </w:r>
    </w:p>
    <w:p>
      <w:pPr>
        <w:pStyle w:val="11"/>
        <w:ind w:firstLine="630"/>
        <w:rPr>
          <w:rFonts w:hAnsi="Calibri" w:eastAsia="仿宋_GB2312" w:cs="Times New Roman"/>
          <w:color w:val="auto"/>
          <w:kern w:val="2"/>
          <w:sz w:val="32"/>
          <w:szCs w:val="32"/>
        </w:rPr>
      </w:pPr>
      <w:r>
        <w:rPr>
          <w:rFonts w:hAnsi="Calibri" w:eastAsia="仿宋_GB2312"/>
          <w:color w:val="auto"/>
          <w:kern w:val="2"/>
          <w:sz w:val="32"/>
          <w:szCs w:val="32"/>
        </w:rPr>
        <w:t>2.</w:t>
      </w:r>
      <w:r>
        <w:rPr>
          <w:rFonts w:hint="eastAsia" w:hAnsi="Calibri" w:eastAsia="仿宋_GB2312"/>
          <w:color w:val="auto"/>
          <w:kern w:val="2"/>
          <w:sz w:val="32"/>
          <w:szCs w:val="32"/>
        </w:rPr>
        <w:t>华南师范大学二级单位“十三五”事业发展规划编制参考提纲</w:t>
      </w:r>
    </w:p>
    <w:p>
      <w:pPr>
        <w:pStyle w:val="11"/>
        <w:ind w:firstLine="630"/>
        <w:rPr>
          <w:rFonts w:hAnsi="Calibri" w:eastAsia="仿宋_GB2312" w:cs="Times New Roman"/>
          <w:color w:val="auto"/>
          <w:kern w:val="2"/>
          <w:sz w:val="32"/>
          <w:szCs w:val="32"/>
        </w:rPr>
      </w:pPr>
      <w:r>
        <w:rPr>
          <w:rFonts w:hAnsi="Calibri" w:eastAsia="仿宋_GB2312"/>
          <w:color w:val="auto"/>
          <w:kern w:val="2"/>
          <w:sz w:val="32"/>
          <w:szCs w:val="32"/>
        </w:rPr>
        <w:t>3.</w:t>
      </w:r>
      <w:r>
        <w:rPr>
          <w:rFonts w:hint="eastAsia" w:hAnsi="Calibri" w:eastAsia="仿宋_GB2312"/>
          <w:color w:val="auto"/>
          <w:kern w:val="2"/>
          <w:sz w:val="32"/>
          <w:szCs w:val="32"/>
        </w:rPr>
        <w:t>华南师范大学“十三五”事业发展规划编制参考资料</w:t>
      </w:r>
    </w:p>
    <w:p>
      <w:pPr>
        <w:pStyle w:val="11"/>
        <w:ind w:firstLine="630"/>
        <w:rPr>
          <w:rFonts w:hAnsi="Calibri" w:eastAsia="仿宋_GB2312" w:cs="Times New Roman"/>
          <w:color w:val="auto"/>
          <w:kern w:val="2"/>
          <w:sz w:val="32"/>
          <w:szCs w:val="32"/>
        </w:rPr>
      </w:pPr>
    </w:p>
    <w:p>
      <w:pPr>
        <w:pStyle w:val="11"/>
        <w:ind w:firstLine="4944" w:firstLineChars="1545"/>
        <w:rPr>
          <w:rFonts w:hAnsi="Calibri" w:eastAsia="仿宋_GB2312" w:cs="Times New Roman"/>
          <w:color w:val="auto"/>
          <w:kern w:val="2"/>
          <w:sz w:val="32"/>
          <w:szCs w:val="32"/>
        </w:rPr>
      </w:pPr>
      <w:r>
        <w:rPr>
          <w:rFonts w:hint="eastAsia" w:hAnsi="Calibri" w:eastAsia="仿宋_GB2312"/>
          <w:color w:val="auto"/>
          <w:kern w:val="2"/>
          <w:sz w:val="32"/>
          <w:szCs w:val="32"/>
        </w:rPr>
        <w:t>发展规划处</w:t>
      </w:r>
    </w:p>
    <w:p>
      <w:pPr>
        <w:pStyle w:val="11"/>
        <w:ind w:firstLine="4784" w:firstLineChars="1495"/>
        <w:rPr>
          <w:rFonts w:hAnsi="Calibri" w:eastAsia="仿宋_GB2312" w:cs="Times New Roman"/>
          <w:color w:val="auto"/>
          <w:kern w:val="2"/>
          <w:sz w:val="32"/>
          <w:szCs w:val="32"/>
        </w:rPr>
      </w:pPr>
      <w:r>
        <w:rPr>
          <w:rFonts w:hAnsi="Calibri" w:eastAsia="仿宋_GB2312"/>
          <w:color w:val="auto"/>
          <w:kern w:val="2"/>
          <w:sz w:val="32"/>
          <w:szCs w:val="32"/>
        </w:rPr>
        <w:t>2015</w:t>
      </w:r>
      <w:r>
        <w:rPr>
          <w:rFonts w:hint="eastAsia" w:hAnsi="Calibri" w:eastAsia="仿宋_GB2312"/>
          <w:color w:val="auto"/>
          <w:kern w:val="2"/>
          <w:sz w:val="32"/>
          <w:szCs w:val="32"/>
        </w:rPr>
        <w:t>年</w:t>
      </w:r>
      <w:r>
        <w:rPr>
          <w:rFonts w:hAnsi="Calibri" w:eastAsia="仿宋_GB2312"/>
          <w:color w:val="auto"/>
          <w:kern w:val="2"/>
          <w:sz w:val="32"/>
          <w:szCs w:val="32"/>
        </w:rPr>
        <w:t>12</w:t>
      </w:r>
      <w:r>
        <w:rPr>
          <w:rFonts w:hint="eastAsia" w:hAnsi="Calibri" w:eastAsia="仿宋_GB2312"/>
          <w:color w:val="auto"/>
          <w:kern w:val="2"/>
          <w:sz w:val="32"/>
          <w:szCs w:val="32"/>
        </w:rPr>
        <w:t>月</w:t>
      </w:r>
      <w:r>
        <w:rPr>
          <w:rFonts w:hAnsi="Calibri" w:eastAsia="仿宋_GB2312"/>
          <w:color w:val="auto"/>
          <w:kern w:val="2"/>
          <w:sz w:val="32"/>
          <w:szCs w:val="32"/>
        </w:rPr>
        <w:t>10</w:t>
      </w:r>
      <w:r>
        <w:rPr>
          <w:rFonts w:hint="eastAsia" w:hAnsi="Calibri" w:eastAsia="仿宋_GB2312"/>
          <w:color w:val="auto"/>
          <w:kern w:val="2"/>
          <w:sz w:val="32"/>
          <w:szCs w:val="32"/>
        </w:rPr>
        <w:t>日</w:t>
      </w: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p>
      <w:pPr>
        <w:pStyle w:val="11"/>
        <w:rPr>
          <w:rFonts w:hAnsi="Calibri" w:eastAsia="仿宋_GB2312" w:cs="Times New Roman"/>
          <w:color w:val="auto"/>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FC"/>
    <w:rsid w:val="00016CFD"/>
    <w:rsid w:val="00016E6A"/>
    <w:rsid w:val="00031428"/>
    <w:rsid w:val="00055483"/>
    <w:rsid w:val="00063296"/>
    <w:rsid w:val="00071FF2"/>
    <w:rsid w:val="00072CB5"/>
    <w:rsid w:val="0009787E"/>
    <w:rsid w:val="000A7CD1"/>
    <w:rsid w:val="000B26BB"/>
    <w:rsid w:val="000D279D"/>
    <w:rsid w:val="00101CA3"/>
    <w:rsid w:val="00132611"/>
    <w:rsid w:val="00136F4C"/>
    <w:rsid w:val="001429F9"/>
    <w:rsid w:val="00160CA4"/>
    <w:rsid w:val="001A33C2"/>
    <w:rsid w:val="001D140F"/>
    <w:rsid w:val="001F7A37"/>
    <w:rsid w:val="00204A59"/>
    <w:rsid w:val="002301AD"/>
    <w:rsid w:val="002365BB"/>
    <w:rsid w:val="00247B30"/>
    <w:rsid w:val="00274D75"/>
    <w:rsid w:val="002931F9"/>
    <w:rsid w:val="0029402E"/>
    <w:rsid w:val="002E39D1"/>
    <w:rsid w:val="002E50A9"/>
    <w:rsid w:val="00317005"/>
    <w:rsid w:val="00336483"/>
    <w:rsid w:val="0037208F"/>
    <w:rsid w:val="0039209D"/>
    <w:rsid w:val="003A0692"/>
    <w:rsid w:val="003B0A47"/>
    <w:rsid w:val="003D6CA2"/>
    <w:rsid w:val="003E385D"/>
    <w:rsid w:val="004573CB"/>
    <w:rsid w:val="0046100C"/>
    <w:rsid w:val="004611FC"/>
    <w:rsid w:val="004867C0"/>
    <w:rsid w:val="004A597C"/>
    <w:rsid w:val="004B63E6"/>
    <w:rsid w:val="004B79F0"/>
    <w:rsid w:val="004F003A"/>
    <w:rsid w:val="004F15DE"/>
    <w:rsid w:val="004F66A8"/>
    <w:rsid w:val="005515F2"/>
    <w:rsid w:val="00582B4B"/>
    <w:rsid w:val="00585527"/>
    <w:rsid w:val="005A5BE0"/>
    <w:rsid w:val="005E21C0"/>
    <w:rsid w:val="005E6BC6"/>
    <w:rsid w:val="00603602"/>
    <w:rsid w:val="00621CDD"/>
    <w:rsid w:val="006572DC"/>
    <w:rsid w:val="00686A11"/>
    <w:rsid w:val="006C0BE6"/>
    <w:rsid w:val="006C52ED"/>
    <w:rsid w:val="006C6A50"/>
    <w:rsid w:val="007035B4"/>
    <w:rsid w:val="00736B7B"/>
    <w:rsid w:val="00756D92"/>
    <w:rsid w:val="007A210E"/>
    <w:rsid w:val="007C22E0"/>
    <w:rsid w:val="007C483F"/>
    <w:rsid w:val="00812F1C"/>
    <w:rsid w:val="0088667C"/>
    <w:rsid w:val="00892192"/>
    <w:rsid w:val="008B16F8"/>
    <w:rsid w:val="008B730E"/>
    <w:rsid w:val="008C51A7"/>
    <w:rsid w:val="0090326F"/>
    <w:rsid w:val="00950315"/>
    <w:rsid w:val="00982783"/>
    <w:rsid w:val="00997C7F"/>
    <w:rsid w:val="009B1210"/>
    <w:rsid w:val="009B18B8"/>
    <w:rsid w:val="00A60100"/>
    <w:rsid w:val="00A724A5"/>
    <w:rsid w:val="00A73C58"/>
    <w:rsid w:val="00A91139"/>
    <w:rsid w:val="00A978D0"/>
    <w:rsid w:val="00AC2C86"/>
    <w:rsid w:val="00AD7830"/>
    <w:rsid w:val="00B07823"/>
    <w:rsid w:val="00B4254F"/>
    <w:rsid w:val="00B50199"/>
    <w:rsid w:val="00B70EB9"/>
    <w:rsid w:val="00B7319D"/>
    <w:rsid w:val="00B96732"/>
    <w:rsid w:val="00BB0D9A"/>
    <w:rsid w:val="00BC540B"/>
    <w:rsid w:val="00BD685C"/>
    <w:rsid w:val="00C00816"/>
    <w:rsid w:val="00C10595"/>
    <w:rsid w:val="00C1228D"/>
    <w:rsid w:val="00C52BFF"/>
    <w:rsid w:val="00C72B0F"/>
    <w:rsid w:val="00CB00D1"/>
    <w:rsid w:val="00CC78D3"/>
    <w:rsid w:val="00D4147B"/>
    <w:rsid w:val="00D61965"/>
    <w:rsid w:val="00D62B9D"/>
    <w:rsid w:val="00D91BEA"/>
    <w:rsid w:val="00DC2C6B"/>
    <w:rsid w:val="00DC5EF7"/>
    <w:rsid w:val="00DE3916"/>
    <w:rsid w:val="00DE3D0B"/>
    <w:rsid w:val="00E07F3D"/>
    <w:rsid w:val="00E113F8"/>
    <w:rsid w:val="00E31AD1"/>
    <w:rsid w:val="00E32F42"/>
    <w:rsid w:val="00E350C0"/>
    <w:rsid w:val="00E73483"/>
    <w:rsid w:val="00E73562"/>
    <w:rsid w:val="00E822F8"/>
    <w:rsid w:val="00EA4FF9"/>
    <w:rsid w:val="00EA5505"/>
    <w:rsid w:val="00EA69F4"/>
    <w:rsid w:val="00EC5E6F"/>
    <w:rsid w:val="00EE2CFB"/>
    <w:rsid w:val="00EE5661"/>
    <w:rsid w:val="00F30F64"/>
    <w:rsid w:val="00F60C72"/>
    <w:rsid w:val="00F71199"/>
    <w:rsid w:val="00F75652"/>
    <w:rsid w:val="00F76CD5"/>
    <w:rsid w:val="00FD2DBE"/>
    <w:rsid w:val="00FF5C67"/>
    <w:rsid w:val="6BC507A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alloon Text"/>
    <w:basedOn w:val="1"/>
    <w:link w:val="12"/>
    <w:semiHidden/>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000FF"/>
      <w:u w:val="single"/>
    </w:rPr>
  </w:style>
  <w:style w:type="character" w:customStyle="1" w:styleId="9">
    <w:name w:val="页眉 Char"/>
    <w:basedOn w:val="6"/>
    <w:link w:val="5"/>
    <w:semiHidden/>
    <w:locked/>
    <w:uiPriority w:val="99"/>
    <w:rPr>
      <w:sz w:val="18"/>
      <w:szCs w:val="18"/>
    </w:rPr>
  </w:style>
  <w:style w:type="character" w:customStyle="1" w:styleId="10">
    <w:name w:val="页脚 Char"/>
    <w:basedOn w:val="6"/>
    <w:link w:val="4"/>
    <w:qFormat/>
    <w:locked/>
    <w:uiPriority w:val="99"/>
    <w:rPr>
      <w:sz w:val="18"/>
      <w:szCs w:val="18"/>
    </w:rPr>
  </w:style>
  <w:style w:type="paragraph" w:customStyle="1" w:styleId="11">
    <w:name w:val="Defaul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2">
    <w:name w:val="批注框文本 Char"/>
    <w:basedOn w:val="6"/>
    <w:link w:val="3"/>
    <w:semiHidden/>
    <w:locked/>
    <w:uiPriority w:val="99"/>
    <w:rPr>
      <w:sz w:val="18"/>
      <w:szCs w:val="18"/>
    </w:rPr>
  </w:style>
  <w:style w:type="character" w:customStyle="1" w:styleId="13">
    <w:name w:val="日期 Char"/>
    <w:basedOn w:val="6"/>
    <w:link w:val="2"/>
    <w:semiHidden/>
    <w:locked/>
    <w:uiPriority w:val="99"/>
  </w:style>
  <w:style w:type="character" w:customStyle="1" w:styleId="14">
    <w:name w:val="apple-converted-space"/>
    <w:basedOn w:val="6"/>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322</Words>
  <Characters>1841</Characters>
  <Lines>15</Lines>
  <Paragraphs>4</Paragraphs>
  <TotalTime>0</TotalTime>
  <ScaleCrop>false</ScaleCrop>
  <LinksUpToDate>false</LinksUpToDate>
  <CharactersWithSpaces>2159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2015-12-08T08:28:00Z</dcterms:created>
  <dc:creator>朱德威</dc:creator>
  <cp:lastModifiedBy>Dell</cp:lastModifiedBy>
  <cp:lastPrinted>2015-12-10T08:12:00Z</cp:lastPrinted>
  <dcterms:modified xsi:type="dcterms:W3CDTF">2015-12-14T02:57:19Z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