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BC" w:rsidRPr="000066BC" w:rsidRDefault="000066BC" w:rsidP="000066BC">
      <w:pPr>
        <w:pStyle w:val="title3"/>
        <w:shd w:val="clear" w:color="auto" w:fill="FFFFFF"/>
        <w:rPr>
          <w:sz w:val="30"/>
          <w:szCs w:val="30"/>
        </w:rPr>
      </w:pPr>
      <w:r w:rsidRPr="000066BC">
        <w:rPr>
          <w:sz w:val="30"/>
          <w:szCs w:val="30"/>
        </w:rPr>
        <w:t>关于填报《华南师范大学事业发展白皮书》（2015年）的通知</w:t>
      </w:r>
    </w:p>
    <w:p w:rsidR="000066BC" w:rsidRPr="000066BC" w:rsidRDefault="000066BC" w:rsidP="000066BC">
      <w:pPr>
        <w:pStyle w:val="author1"/>
        <w:shd w:val="clear" w:color="auto" w:fill="FFFFFF"/>
        <w:rPr>
          <w:sz w:val="21"/>
          <w:szCs w:val="21"/>
        </w:rPr>
      </w:pPr>
      <w:r w:rsidRPr="000066BC">
        <w:rPr>
          <w:sz w:val="21"/>
          <w:szCs w:val="21"/>
        </w:rPr>
        <w:t>[发展规划处、学术委员会秘书处 2015-12-24]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</w:pPr>
      <w:r w:rsidRPr="000066BC">
        <w:rPr>
          <w:rFonts w:ascii="仿宋_GB2312" w:eastAsia="仿宋_GB2312" w:hint="eastAsia"/>
        </w:rPr>
        <w:t>各有关部处、学院和单位：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93"/>
      </w:pPr>
      <w:r w:rsidRPr="000066BC">
        <w:rPr>
          <w:rFonts w:ascii="仿宋_GB2312" w:eastAsia="仿宋_GB2312" w:hint="eastAsia"/>
        </w:rPr>
        <w:t>今年是学校“十二五”收官之年。按照学校总体工作部署，学校现在启动2015年白皮书编制工作，并将于下学期开学初正式发布。学校事业发展白皮书将作为2016年高水平大学建设相关资源分配的重要参考依据，务请各有关部处和单位高度重视数据填报工作，安排专人负责和跟进。现将具体事项通知如下：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75"/>
        <w:rPr>
          <w:b/>
        </w:rPr>
      </w:pPr>
      <w:r w:rsidRPr="000066BC">
        <w:rPr>
          <w:rFonts w:ascii="黑体" w:eastAsia="黑体" w:hAnsi="黑体" w:hint="eastAsia"/>
          <w:b/>
        </w:rPr>
        <w:t>一、填报单位及分工（表格见附件）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  <w:rPr>
          <w:b/>
        </w:rPr>
      </w:pPr>
      <w:r w:rsidRPr="000066BC">
        <w:rPr>
          <w:rFonts w:ascii="仿宋_GB2312" w:eastAsia="仿宋_GB2312" w:hint="eastAsia"/>
          <w:b/>
        </w:rPr>
        <w:t>继续教育学院（总表）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  <w:rPr>
          <w:b/>
        </w:rPr>
      </w:pPr>
      <w:r w:rsidRPr="000066BC">
        <w:rPr>
          <w:rFonts w:ascii="仿宋_GB2312" w:eastAsia="仿宋_GB2312" w:hint="eastAsia"/>
          <w:b/>
        </w:rPr>
        <w:t>网络教育学院（总表）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图书馆（总表）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发展规划处（总表）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教务处（总表、表1、表2、表3）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研究生处（总表、表4）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学生工作部（表5）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人事处（总表、表6、表12）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社科处（总表、表7、表8）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科技处（总表、表9、表10）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国际交流合作处（总表、表11、表12）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630"/>
      </w:pPr>
      <w:r w:rsidRPr="000066BC">
        <w:rPr>
          <w:rFonts w:ascii="仿宋_GB2312" w:eastAsia="仿宋_GB2312" w:hint="eastAsia"/>
        </w:rPr>
        <w:t>资产处（总表、表13、表14）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75"/>
      </w:pPr>
      <w:r w:rsidRPr="000066BC">
        <w:rPr>
          <w:rFonts w:ascii="黑体" w:eastAsia="黑体" w:hAnsi="黑体" w:hint="eastAsia"/>
        </w:rPr>
        <w:t>二、时间安排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Chars="190" w:firstLine="456"/>
      </w:pPr>
      <w:r w:rsidRPr="000066BC">
        <w:rPr>
          <w:rFonts w:ascii="仿宋_GB2312" w:eastAsia="仿宋_GB2312" w:hint="eastAsia"/>
        </w:rPr>
        <w:t>1.2015年12月24日—2016年1月8日，部处（单位）填报数据，请各部处和单位在</w:t>
      </w:r>
      <w:r w:rsidRPr="000066BC">
        <w:rPr>
          <w:rStyle w:val="a3"/>
          <w:rFonts w:ascii="仿宋_GB2312" w:eastAsia="仿宋_GB2312" w:hint="eastAsia"/>
        </w:rPr>
        <w:t>2016年1月8日（周五）</w:t>
      </w:r>
      <w:r w:rsidRPr="000066BC">
        <w:rPr>
          <w:rFonts w:ascii="仿宋_GB2312" w:eastAsia="仿宋_GB2312" w:hint="eastAsia"/>
        </w:rPr>
        <w:t>前将填报好的数据表提交发展规划处。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Chars="190" w:firstLine="456"/>
      </w:pPr>
      <w:r>
        <w:rPr>
          <w:rFonts w:ascii="仿宋_GB2312" w:eastAsia="仿宋_GB2312" w:hint="eastAsia"/>
        </w:rPr>
        <w:t>2.</w:t>
      </w:r>
      <w:r w:rsidRPr="000066BC">
        <w:rPr>
          <w:rFonts w:ascii="仿宋_GB2312" w:eastAsia="仿宋_GB2312" w:hint="eastAsia"/>
        </w:rPr>
        <w:t>1月9日—1月12日，发展规划处汇总整理并发布征求意见稿；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Chars="200" w:firstLine="480"/>
      </w:pPr>
      <w:r>
        <w:rPr>
          <w:rFonts w:ascii="仿宋_GB2312" w:eastAsia="仿宋_GB2312" w:hint="eastAsia"/>
        </w:rPr>
        <w:t>3.</w:t>
      </w:r>
      <w:r w:rsidRPr="000066BC">
        <w:rPr>
          <w:rFonts w:ascii="仿宋_GB2312" w:eastAsia="仿宋_GB2312" w:hint="eastAsia"/>
        </w:rPr>
        <w:t>1月13日—1月23日，部处和学院核准数据；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75"/>
      </w:pPr>
      <w:r>
        <w:rPr>
          <w:rFonts w:ascii="仿宋_GB2312" w:eastAsia="仿宋_GB2312" w:hint="eastAsia"/>
        </w:rPr>
        <w:lastRenderedPageBreak/>
        <w:t>4.</w:t>
      </w:r>
      <w:r w:rsidRPr="000066BC">
        <w:rPr>
          <w:rFonts w:ascii="仿宋_GB2312" w:eastAsia="仿宋_GB2312" w:hint="eastAsia"/>
        </w:rPr>
        <w:t>3月初，白皮书正式公布。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75"/>
      </w:pPr>
      <w:r w:rsidRPr="000066BC">
        <w:rPr>
          <w:rFonts w:ascii="黑体" w:eastAsia="黑体" w:hAnsi="黑体" w:hint="eastAsia"/>
        </w:rPr>
        <w:t>三、注意事项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18"/>
      </w:pPr>
      <w:r w:rsidRPr="000066BC">
        <w:rPr>
          <w:rFonts w:ascii="仿宋_GB2312" w:eastAsia="仿宋_GB2312" w:hint="eastAsia"/>
        </w:rPr>
        <w:t>1.数据统计时间范围为2015年1月1日</w:t>
      </w:r>
      <w:r w:rsidRPr="000066BC">
        <w:rPr>
          <w:rFonts w:ascii="Times New Roman" w:hAnsi="Times New Roman" w:cs="Times New Roman"/>
        </w:rPr>
        <w:t>—</w:t>
      </w:r>
      <w:r w:rsidRPr="000066BC">
        <w:rPr>
          <w:rFonts w:ascii="仿宋_GB2312" w:eastAsia="仿宋_GB2312" w:hint="eastAsia"/>
        </w:rPr>
        <w:t>2015年12月31日；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Chars="150" w:firstLine="360"/>
      </w:pPr>
      <w:r w:rsidRPr="000066BC">
        <w:rPr>
          <w:rFonts w:ascii="仿宋_GB2312" w:eastAsia="仿宋_GB2312" w:hint="eastAsia"/>
        </w:rPr>
        <w:t>2.如有小数点的数据一律保留两位小数；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18"/>
      </w:pPr>
      <w:r w:rsidRPr="000066BC">
        <w:rPr>
          <w:rFonts w:ascii="仿宋_GB2312" w:eastAsia="仿宋_GB2312" w:hint="eastAsia"/>
        </w:rPr>
        <w:t>3.社科和科技类科研经费（成果）分开统计；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18"/>
      </w:pPr>
      <w:r w:rsidRPr="000066BC">
        <w:rPr>
          <w:rFonts w:ascii="仿宋_GB2312" w:eastAsia="仿宋_GB2312" w:hint="eastAsia"/>
        </w:rPr>
        <w:t>4.填报时各个表格的“说明”部分要作相应更新；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18"/>
      </w:pPr>
      <w:r w:rsidRPr="000066BC">
        <w:rPr>
          <w:rFonts w:ascii="仿宋_GB2312" w:eastAsia="仿宋_GB2312" w:hint="eastAsia"/>
        </w:rPr>
        <w:t>5.请各部处、各单位将填报的数据做好清单备份，以备后期数据核对；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18"/>
      </w:pPr>
      <w:r w:rsidRPr="000066BC">
        <w:rPr>
          <w:rFonts w:ascii="仿宋_GB2312" w:eastAsia="仿宋_GB2312" w:hint="eastAsia"/>
        </w:rPr>
        <w:t>6.各部处填报时要注意新成立的学院是否有统计数据，如有请自行增加相应学院数据。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75"/>
      </w:pPr>
      <w:r w:rsidRPr="000066BC">
        <w:rPr>
          <w:rFonts w:ascii="黑体" w:eastAsia="黑体" w:hAnsi="黑体" w:hint="eastAsia"/>
        </w:rPr>
        <w:t>四、其他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218"/>
      </w:pPr>
      <w:r w:rsidRPr="000066BC">
        <w:rPr>
          <w:rFonts w:ascii="仿宋_GB2312" w:eastAsia="仿宋_GB2312" w:hint="eastAsia"/>
        </w:rPr>
        <w:t>1.下学期，学校将对“十二五”期间事业发展总体情况进行汇总统计分析，请各部处提前准备，认真总结各领域五年工作成绩和不足。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98"/>
      </w:pPr>
      <w:r w:rsidRPr="000066BC">
        <w:rPr>
          <w:rFonts w:ascii="仿宋_GB2312" w:eastAsia="仿宋_GB2312" w:hint="eastAsia"/>
        </w:rPr>
        <w:t>2.关于高水平大学建设重点学科群2015年度建设成效统计，学校将另行通知。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23"/>
      </w:pPr>
      <w:r w:rsidRPr="000066BC">
        <w:rPr>
          <w:rFonts w:ascii="仿宋_GB2312" w:eastAsia="仿宋_GB2312" w:hint="eastAsia"/>
        </w:rPr>
        <w:t>请相关单位</w:t>
      </w:r>
      <w:proofErr w:type="gramStart"/>
      <w:r w:rsidRPr="000066BC">
        <w:rPr>
          <w:rFonts w:ascii="仿宋_GB2312" w:eastAsia="仿宋_GB2312" w:hint="eastAsia"/>
        </w:rPr>
        <w:t>见通知</w:t>
      </w:r>
      <w:proofErr w:type="gramEnd"/>
      <w:r w:rsidRPr="000066BC">
        <w:rPr>
          <w:rFonts w:ascii="仿宋_GB2312" w:eastAsia="仿宋_GB2312" w:hint="eastAsia"/>
        </w:rPr>
        <w:t>后报送专项工作联系人，填报时如有疑问请及时保持联系。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23"/>
      </w:pPr>
      <w:r w:rsidRPr="000066BC">
        <w:rPr>
          <w:rFonts w:ascii="仿宋_GB2312" w:eastAsia="仿宋_GB2312" w:hint="eastAsia"/>
        </w:rPr>
        <w:t>联系人：王赵雄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23"/>
      </w:pPr>
      <w:r w:rsidRPr="000066BC">
        <w:rPr>
          <w:rFonts w:ascii="仿宋_GB2312" w:eastAsia="仿宋_GB2312" w:hint="eastAsia"/>
        </w:rPr>
        <w:t>联系电话：85210865，13802438779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23"/>
      </w:pPr>
      <w:r w:rsidRPr="000066BC">
        <w:rPr>
          <w:rFonts w:ascii="仿宋_GB2312" w:eastAsia="仿宋_GB2312" w:hint="eastAsia"/>
        </w:rPr>
        <w:t>电子邮箱：</w:t>
      </w:r>
      <w:hyperlink r:id="rId4" w:history="1">
        <w:r w:rsidRPr="000066BC">
          <w:rPr>
            <w:rFonts w:ascii="仿宋_GB2312" w:eastAsia="仿宋_GB2312" w:hint="eastAsia"/>
            <w:color w:val="4678E2"/>
          </w:rPr>
          <w:t>bear220538</w:t>
        </w:r>
      </w:hyperlink>
      <w:r w:rsidRPr="000066BC">
        <w:rPr>
          <w:rFonts w:ascii="Times New Roman" w:hAnsi="Times New Roman" w:cs="Times New Roman"/>
        </w:rPr>
        <w:t>@</w:t>
      </w:r>
      <w:r w:rsidRPr="000066BC">
        <w:rPr>
          <w:rFonts w:ascii="仿宋_GB2312" w:eastAsia="仿宋_GB2312" w:hint="eastAsia"/>
        </w:rPr>
        <w:t>qq.com</w:t>
      </w:r>
    </w:p>
    <w:p w:rsidR="000066BC" w:rsidRPr="000066BC" w:rsidRDefault="000066BC" w:rsidP="000066BC">
      <w:pPr>
        <w:pStyle w:val="a4"/>
        <w:shd w:val="clear" w:color="auto" w:fill="FFFFFF"/>
        <w:spacing w:line="320" w:lineRule="exact"/>
        <w:ind w:firstLine="323"/>
      </w:pPr>
      <w:r w:rsidRPr="000066BC">
        <w:rPr>
          <w:rFonts w:ascii="仿宋_GB2312" w:eastAsia="仿宋_GB2312" w:hint="eastAsia"/>
        </w:rPr>
        <w:t>专项工作QQ群：294359163（2015年</w:t>
      </w:r>
      <w:proofErr w:type="gramStart"/>
      <w:r w:rsidRPr="000066BC">
        <w:rPr>
          <w:rFonts w:ascii="仿宋_GB2312" w:eastAsia="仿宋_GB2312" w:hint="eastAsia"/>
        </w:rPr>
        <w:t>表格已群共享</w:t>
      </w:r>
      <w:proofErr w:type="gramEnd"/>
      <w:r w:rsidRPr="000066BC">
        <w:rPr>
          <w:rFonts w:ascii="仿宋_GB2312" w:eastAsia="仿宋_GB2312" w:hint="eastAsia"/>
        </w:rPr>
        <w:t>）</w:t>
      </w:r>
    </w:p>
    <w:p w:rsidR="000066BC" w:rsidRPr="000066BC" w:rsidRDefault="000066BC" w:rsidP="000066BC">
      <w:pPr>
        <w:pStyle w:val="a4"/>
        <w:shd w:val="clear" w:color="auto" w:fill="FFFFFF"/>
        <w:spacing w:before="0" w:beforeAutospacing="0" w:after="0" w:afterAutospacing="0" w:line="320" w:lineRule="exact"/>
        <w:ind w:right="323"/>
        <w:jc w:val="right"/>
      </w:pPr>
      <w:r w:rsidRPr="000066BC">
        <w:rPr>
          <w:rFonts w:ascii="仿宋_GB2312" w:eastAsia="仿宋_GB2312" w:hint="eastAsia"/>
        </w:rPr>
        <w:t>发展规划处</w:t>
      </w:r>
    </w:p>
    <w:p w:rsidR="000066BC" w:rsidRPr="000066BC" w:rsidRDefault="000066BC" w:rsidP="000066BC">
      <w:pPr>
        <w:pStyle w:val="a4"/>
        <w:shd w:val="clear" w:color="auto" w:fill="FFFFFF"/>
        <w:spacing w:before="0" w:beforeAutospacing="0" w:after="0" w:afterAutospacing="0" w:line="320" w:lineRule="exact"/>
        <w:ind w:right="323"/>
        <w:jc w:val="right"/>
      </w:pPr>
      <w:r w:rsidRPr="000066BC">
        <w:rPr>
          <w:rFonts w:ascii="仿宋_GB2312" w:eastAsia="仿宋_GB2312" w:hint="eastAsia"/>
        </w:rPr>
        <w:t>2015年12月24日</w:t>
      </w:r>
    </w:p>
    <w:p w:rsidR="0090148A" w:rsidRPr="000066BC" w:rsidRDefault="000066BC" w:rsidP="000066BC">
      <w:pPr>
        <w:spacing w:line="320" w:lineRule="exact"/>
        <w:rPr>
          <w:sz w:val="24"/>
          <w:szCs w:val="24"/>
        </w:rPr>
      </w:pPr>
    </w:p>
    <w:sectPr w:rsidR="0090148A" w:rsidRPr="000066BC" w:rsidSect="0018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6BC"/>
    <w:rsid w:val="000066BC"/>
    <w:rsid w:val="000E06F8"/>
    <w:rsid w:val="00185744"/>
    <w:rsid w:val="006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6B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006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0066BC"/>
    <w:pPr>
      <w:widowControl/>
      <w:spacing w:after="150"/>
      <w:jc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author1">
    <w:name w:val="author1"/>
    <w:basedOn w:val="a"/>
    <w:rsid w:val="000066BC"/>
    <w:pPr>
      <w:widowControl/>
      <w:spacing w:after="195"/>
      <w:jc w:val="center"/>
    </w:pPr>
    <w:rPr>
      <w:rFonts w:ascii="宋体" w:eastAsia="宋体" w:hAnsi="宋体" w:cs="宋体"/>
      <w:color w:val="999999"/>
      <w:kern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466">
              <w:marLeft w:val="0"/>
              <w:marRight w:val="0"/>
              <w:marTop w:val="0"/>
              <w:marBottom w:val="188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394619719">
                  <w:marLeft w:val="0"/>
                  <w:marRight w:val="0"/>
                  <w:marTop w:val="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0546">
                      <w:marLeft w:val="150"/>
                      <w:marRight w:val="15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2" w:space="11" w:color="DDDDDD"/>
                        <w:right w:val="none" w:sz="0" w:space="0" w:color="auto"/>
                      </w:divBdr>
                      <w:divsChild>
                        <w:div w:id="1030429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r22053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2016-03-02T09:05:00Z</dcterms:created>
  <dcterms:modified xsi:type="dcterms:W3CDTF">2016-03-02T09:10:00Z</dcterms:modified>
</cp:coreProperties>
</file>