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A0" w:rsidRPr="006237A0" w:rsidRDefault="006237A0" w:rsidP="006237A0">
      <w:pPr>
        <w:rPr>
          <w:b/>
          <w:sz w:val="36"/>
          <w:szCs w:val="36"/>
        </w:rPr>
      </w:pPr>
      <w:bookmarkStart w:id="0" w:name="_GoBack"/>
      <w:bookmarkEnd w:id="0"/>
      <w:r w:rsidRPr="006237A0">
        <w:rPr>
          <w:rFonts w:hint="eastAsia"/>
          <w:b/>
          <w:sz w:val="36"/>
          <w:szCs w:val="36"/>
        </w:rPr>
        <w:t>“冲一流、补短板、强特色”——广东</w:t>
      </w:r>
      <w:r w:rsidRPr="006237A0">
        <w:rPr>
          <w:rFonts w:hint="eastAsia"/>
          <w:b/>
          <w:sz w:val="36"/>
          <w:szCs w:val="36"/>
        </w:rPr>
        <w:t>14</w:t>
      </w:r>
      <w:r w:rsidRPr="006237A0">
        <w:rPr>
          <w:rFonts w:hint="eastAsia"/>
          <w:b/>
          <w:sz w:val="36"/>
          <w:szCs w:val="36"/>
        </w:rPr>
        <w:t>所高水平大学建设进入</w:t>
      </w:r>
      <w:r w:rsidRPr="006237A0">
        <w:rPr>
          <w:rFonts w:hint="eastAsia"/>
          <w:b/>
          <w:sz w:val="36"/>
          <w:szCs w:val="36"/>
        </w:rPr>
        <w:t>2.0</w:t>
      </w:r>
      <w:r w:rsidRPr="006237A0">
        <w:rPr>
          <w:rFonts w:hint="eastAsia"/>
          <w:b/>
          <w:sz w:val="36"/>
          <w:szCs w:val="36"/>
        </w:rPr>
        <w:t>时代</w:t>
      </w:r>
    </w:p>
    <w:p w:rsidR="006237A0" w:rsidRPr="006237A0" w:rsidRDefault="006237A0" w:rsidP="006237A0">
      <w:pPr>
        <w:rPr>
          <w:kern w:val="36"/>
          <w:sz w:val="24"/>
          <w:szCs w:val="24"/>
        </w:rPr>
      </w:pPr>
      <w:r w:rsidRPr="006237A0">
        <w:rPr>
          <w:noProof/>
          <w:kern w:val="36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 descr="https://mmbiz.qpic.cn/mmbiz_jpg/WxmevetWSahWyVP0HOCR9hlIicIrjBmIH0GicdQyicWL71EkMy6vzFCicsUpRuoS6TnusJOo3RYJlI0Iw7PDzuKiaMw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118A9D" id="矩形 2" o:spid="_x0000_s1026" alt="https://mmbiz.qpic.cn/mmbiz_jpg/WxmevetWSahWyVP0HOCR9hlIicIrjBmIH0GicdQyicWL71EkMy6vzFCicsUpRuoS6TnusJOo3RYJlI0Iw7PDzuKiaMw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HFrCW1sDAAB7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Pr="006237A0">
        <w:rPr>
          <w:rFonts w:hint="eastAsia"/>
          <w:kern w:val="36"/>
          <w:sz w:val="24"/>
          <w:szCs w:val="24"/>
        </w:rPr>
        <w:t xml:space="preserve"> 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Cs w:val="21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 xml:space="preserve">　　</w:t>
      </w:r>
      <w:r w:rsidRPr="006237A0">
        <w:rPr>
          <w:rFonts w:ascii="Helvetica" w:eastAsia="Microsoft YaHei UI" w:hAnsi="Helvetica" w:cs="Helvetica"/>
          <w:noProof/>
          <w:color w:val="1B1B1B"/>
          <w:spacing w:val="8"/>
          <w:kern w:val="0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https://mmbiz.qpic.cn/mmbiz_jpg/WxmevetWSajKXXOKlIHzewsWhlRTpD70MxqNuDuFnJe3m4ubge7Zc9Y3yxicvr6bTj1h7qzMrcERFeP047BfslQ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86BAF" id="矩形 1" o:spid="_x0000_s1026" alt="https://mmbiz.qpic.cn/mmbiz_jpg/WxmevetWSajKXXOKlIHzewsWhlRTpD70MxqNuDuFnJe3m4ubge7Zc9Y3yxicvr6bTj1h7qzMrcERFeP047BfslQ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XdwjZWAwAAdw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 xml:space="preserve">　　近日，广东出台《高等教育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冲一流、补短板、强特色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提升计划实施方案》（简称《实施方案》），将公办本科高校对应分成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冲一流、补短板、强特色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（简称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冲补强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）三类组团，分类发展，力争到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2020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年全省高等教育综合实力、核心竞争力和国际影响力大幅度提高，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8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所至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10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所高校进入全国百强。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 xml:space="preserve">　　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它实际上是广东高等教育发展，也就是高水平大学建设的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2.0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版。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省教育厅科研（研究生）处处长欧阳谦向《南方》杂志记者表示，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冲补强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提升计划是在以往高水平大学、高水平理工科大学建设的基础上，让高校找准自己的位置，整合各方资源和力量，从而着力解决我省高等教育发展不平衡不充分问题的更好路径。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b/>
          <w:bCs/>
          <w:color w:val="FF0000"/>
          <w:spacing w:val="8"/>
          <w:kern w:val="0"/>
          <w:sz w:val="27"/>
          <w:szCs w:val="27"/>
        </w:rPr>
        <w:t xml:space="preserve">　　全省高校</w:t>
      </w:r>
      <w:r w:rsidRPr="006237A0">
        <w:rPr>
          <w:rFonts w:ascii="Helvetica" w:eastAsia="Microsoft YaHei UI" w:hAnsi="Helvetica" w:cs="Helvetica"/>
          <w:b/>
          <w:bCs/>
          <w:color w:val="FF0000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b/>
          <w:bCs/>
          <w:color w:val="FF0000"/>
          <w:spacing w:val="8"/>
          <w:kern w:val="0"/>
          <w:sz w:val="27"/>
          <w:szCs w:val="27"/>
        </w:rPr>
        <w:t>打包</w:t>
      </w:r>
      <w:r w:rsidRPr="006237A0">
        <w:rPr>
          <w:rFonts w:ascii="Helvetica" w:eastAsia="Microsoft YaHei UI" w:hAnsi="Helvetica" w:cs="Helvetica"/>
          <w:b/>
          <w:bCs/>
          <w:color w:val="FF0000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b/>
          <w:bCs/>
          <w:color w:val="FF0000"/>
          <w:spacing w:val="8"/>
          <w:kern w:val="0"/>
          <w:sz w:val="27"/>
          <w:szCs w:val="27"/>
        </w:rPr>
        <w:t>发展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 xml:space="preserve">　　大而不强，是近年来困扰广东高等教育工作的一个难题。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 xml:space="preserve">　　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党的十八大以来，广东以超常规的投入力度和改革举措，在高等教育方面取得了很多成绩，但是整体实力和水平还没有进入全国高等教育的第一方阵，与北京、上海、江苏高等教育发展水平还有较大差距，不平衡不充分的问题比较突出。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省委教育工委副书记，省教育厅党组副书记、副厅长邢锋坦言。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lastRenderedPageBreak/>
        <w:t xml:space="preserve">　　现代大学制度体系还没有真正建立起来，高等教育支撑经济社会发展能力不足，粤东西北地区高校整体实力偏弱，部分高校办学特色还不够鲜明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……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邢锋表示，这些问题不仅与建设国家科技产业创新中心、粤港澳大湾区等重大战略不相适应，还与人民群众对优质高等教育资源的热切期盼有较大距离。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 xml:space="preserve">　　为有效破解不平衡不充分的问题，按照省委省政府要求，省教育厅、省财政厅去年以来在深入调研基础上，拟制了《关于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2018—2020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年高等教育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冲一流、补短板、强特色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工作计划及资金安排的方案》，今年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1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月经省政府常务会议研究讨论通过。据此，省教育厅、发改委、科技厅、财政厅近日制定出台了《实施方案》。该计划由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高水平大学建设计划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粤东西北地区高校振兴计划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特色高校提升计划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三项子计划构成，意味着今后全省公办本科高校将按地域、办学水平等因素和前期建设情况，对应分成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冲一流、补短板、强特色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三类组团，分类发展。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 xml:space="preserve">　　《实施方案》提出，到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2020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年，全省高校人才培养、科学研究、社会服务和文化传承创新水平显著提升，全省高等教育综合实力、核心竞争力和国际影响力大幅度提高，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8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至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10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所高校进入全国百强，在支撑创新驱动发展战略和乡村振兴战略，服务经济社会发展主战场、弘扬中华优秀传统文化等方面发挥更加重要和积极的作用。其中的一系列新举措、新任务表明，广东高水平大学建设正不断深化升级，进入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2.0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时代。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lastRenderedPageBreak/>
        <w:t xml:space="preserve">　　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省委省政府经过统筹考虑、全盘谋划，把全部本科高校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‘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打包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’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发展，将有力推动我省高等教育发展不平衡不充分问题的解决。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省委教育工委书记，省教育厅党组书记、厅长景李虎表示。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b/>
          <w:bCs/>
          <w:color w:val="FF0000"/>
          <w:spacing w:val="8"/>
          <w:kern w:val="0"/>
          <w:sz w:val="27"/>
          <w:szCs w:val="27"/>
        </w:rPr>
        <w:t xml:space="preserve">　　</w:t>
      </w:r>
      <w:r w:rsidRPr="006237A0">
        <w:rPr>
          <w:rFonts w:ascii="Helvetica" w:eastAsia="Microsoft YaHei UI" w:hAnsi="Helvetica" w:cs="Helvetica"/>
          <w:b/>
          <w:bCs/>
          <w:color w:val="FF0000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b/>
          <w:bCs/>
          <w:color w:val="FF0000"/>
          <w:spacing w:val="8"/>
          <w:kern w:val="0"/>
          <w:sz w:val="27"/>
          <w:szCs w:val="27"/>
        </w:rPr>
        <w:t>顶天</w:t>
      </w:r>
      <w:r w:rsidRPr="006237A0">
        <w:rPr>
          <w:rFonts w:ascii="Helvetica" w:eastAsia="Microsoft YaHei UI" w:hAnsi="Helvetica" w:cs="Helvetica"/>
          <w:b/>
          <w:bCs/>
          <w:color w:val="FF0000"/>
          <w:spacing w:val="8"/>
          <w:kern w:val="0"/>
          <w:sz w:val="27"/>
          <w:szCs w:val="27"/>
        </w:rPr>
        <w:t>”“</w:t>
      </w:r>
      <w:r w:rsidRPr="006237A0">
        <w:rPr>
          <w:rFonts w:ascii="Helvetica" w:eastAsia="Microsoft YaHei UI" w:hAnsi="Helvetica" w:cs="Helvetica"/>
          <w:b/>
          <w:bCs/>
          <w:color w:val="FF0000"/>
          <w:spacing w:val="8"/>
          <w:kern w:val="0"/>
          <w:sz w:val="27"/>
          <w:szCs w:val="27"/>
        </w:rPr>
        <w:t>立地</w:t>
      </w:r>
      <w:r w:rsidRPr="006237A0">
        <w:rPr>
          <w:rFonts w:ascii="Helvetica" w:eastAsia="Microsoft YaHei UI" w:hAnsi="Helvetica" w:cs="Helvetica"/>
          <w:b/>
          <w:bCs/>
          <w:color w:val="FF0000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b/>
          <w:bCs/>
          <w:color w:val="FF0000"/>
          <w:spacing w:val="8"/>
          <w:kern w:val="0"/>
          <w:sz w:val="27"/>
          <w:szCs w:val="27"/>
        </w:rPr>
        <w:t>，各有侧重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 xml:space="preserve">　　在邢锋看来，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冲补强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又可以分为两类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—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我省高等教育发展的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顶天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工程和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立地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工程，前者即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高水平大学建设计划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，后者则指向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粤东西北高校振兴计划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特色高校提升计划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。两者所覆盖的高校千差万别，因而发展目标和任务均各有侧重。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 xml:space="preserve">　　实施方案明确，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高水平大学建设计划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建设高校的遴选范围原则上为入选国家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双一流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建设高校、上一轮高水平大学建设高校和拥有重大科研平台、承担重大科研任务、具有国际一流高水平师资队伍的普通高等学校，分为高水平大学重点建设高校和高水平大学重点学科建设高校两类。据悉，</w:t>
      </w:r>
      <w:r w:rsidRPr="006237A0">
        <w:rPr>
          <w:rFonts w:ascii="Helvetica" w:eastAsia="Microsoft YaHei UI" w:hAnsi="Helvetica" w:cs="Helvetica"/>
          <w:b/>
          <w:bCs/>
          <w:color w:val="FF0000"/>
          <w:spacing w:val="8"/>
          <w:kern w:val="0"/>
          <w:sz w:val="27"/>
          <w:szCs w:val="27"/>
        </w:rPr>
        <w:t>主要包括中山大学、华南理工大学、暨南大学、华南农业大学、南方医科大学、华南师范大学、广东工业大学、广州中医药大学、广东外语外贸大学、汕头大学、深圳大学、南方科技大学、广州大学、广州医科大学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，以及新增若干所近年办学取得重大成效或具有良好发展势头的高校。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 xml:space="preserve">　　其作为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顶天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工程的核心任务是重点建设一批国内领先、国际一流的优势学科，面向世界科技前沿、面向经济主战场、面向国家、省的重大战略需求，着力提升解决重大问题能力和原始创新能力，成为支撑国家科技创新中心、粤港澳大湾区、省实验室等方面建设的重要力量。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lastRenderedPageBreak/>
        <w:t xml:space="preserve">　　与之相对应，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立地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工程重点则是引导高校扎根地方或行业办大学，将学校发展方向、学科建设重点与推动地方经济社会发展、行业发展更加紧密地结合起来，加快提升其综合办学实力，真正成为支撑当地经济社会发展或行业产业特色发展的重要力量。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 xml:space="preserve">　　其中，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粤东西北高校振兴计划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建设高校的遴选范围原则上为粤东西北地区、珠三角非核心区域的公办普通本科高校，比如广东海洋大学、韩山师范学院、嘉应学院、广东医科大学等；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特色高校提升计划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建设高校的遴选范围原则上为行业特色显著的公办普通本科高校、部分高水平理工科大学和部分省市共建本科高校，比如广东财经大学、仲恺农业工程学院、星海音乐学院、广东美术学院等。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 xml:space="preserve">　　如何将高校发展与地方经济社会发展更好地结合起来？欧阳谦介绍，今年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4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月省发改委和教育厅特地组织地市的发改局、教育局和高校，按粤东、粤西、粤北三个片区分别举行座谈会，最终形成了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粤东西北高校振兴计划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建设高校重点学科一览表，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通过该表格，各地的支柱产业、高校优势和申报学科一目了然，有利于最大程度上满足各方需求，从而真正推动高校的发展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。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b/>
          <w:bCs/>
          <w:color w:val="FF0000"/>
          <w:spacing w:val="8"/>
          <w:kern w:val="0"/>
          <w:sz w:val="27"/>
          <w:szCs w:val="27"/>
        </w:rPr>
        <w:t xml:space="preserve">　　把人才队伍建设和人事制度改革摆在更加重要的位置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 xml:space="preserve">　　在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2.0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时代，体制机制改革仍是高水平大学建设最重要的任务之一。实施方案要求，各建设高校以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3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年为建设周期，编制整体建设方案、分学科建设方案和体制机制改革方案。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lastRenderedPageBreak/>
        <w:t xml:space="preserve">　　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我们对高校编制体制机制改革方案提出了一些专门的要求，比如，要选择三种类型的学校来解剖麻雀：国际知名公立高校、港澳台高校和国内一流高校。通过对标这些高校，查找自身在制度方面存在哪些问题、哪些差距，再来编制方案。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欧阳谦介绍道。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 xml:space="preserve">　　除了充分吸收世界一流大学、国内一流大学的先进办学经验，实施方案还把人才队伍建设和人事制度改革摆在更加重要的位置，其中明确提出，各建设高校要全面推进内部治理、人才培养、人事制度、科研体制等方面的改革。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 xml:space="preserve">　　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人才光靠挖人，只在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‘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挖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’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上做文章，是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‘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挖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’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不出一流大学、一流学科、一流平台和一流成果的。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邢锋表示，这一轮的改革要加快构建充满活力、富有效率、有利于教师成长发展、脱颖而出的制度环境，用前途留人、平台留人、事业留人，形成具有国际竞争力的人才制度优势。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 xml:space="preserve">　　值得一提的是，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冲补强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提升计划在实施过程中除了成立遴选专家委员会以外，也将成立建设委员会和战略咨询委员会，不仅会请来诸多国内的著名专家，还邀请了一些国际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大佬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，对广东全省高等教育发展从宏观上进行指导。</w:t>
      </w:r>
    </w:p>
    <w:p w:rsidR="006237A0" w:rsidRPr="006237A0" w:rsidRDefault="006237A0" w:rsidP="006237A0">
      <w:pPr>
        <w:widowControl/>
        <w:shd w:val="clear" w:color="auto" w:fill="FFFFFF"/>
        <w:spacing w:line="480" w:lineRule="atLeast"/>
        <w:ind w:left="45" w:right="45"/>
        <w:rPr>
          <w:rFonts w:ascii="Helvetica" w:eastAsia="Microsoft YaHei UI" w:hAnsi="Helvetica" w:cs="Helvetica"/>
          <w:color w:val="1B1B1B"/>
          <w:spacing w:val="8"/>
          <w:kern w:val="0"/>
          <w:sz w:val="23"/>
          <w:szCs w:val="23"/>
        </w:rPr>
      </w:pP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 xml:space="preserve">　　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“‘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冲补强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’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不是少数高校受益，而是全省一盘棋统筹发展。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在不久前召开的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冲补强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提升计划专家咨询会上，中国农业大学原党委书记、中国高等教育学会原会长瞿振元指出，广东从建设广州大学城到建设高水平大学、高水平理工科大学，再到启动实施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“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冲补强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”</w:t>
      </w:r>
      <w:r w:rsidRPr="006237A0">
        <w:rPr>
          <w:rFonts w:ascii="Helvetica" w:eastAsia="Microsoft YaHei UI" w:hAnsi="Helvetica" w:cs="Helvetica"/>
          <w:color w:val="1B1B1B"/>
          <w:spacing w:val="8"/>
          <w:kern w:val="0"/>
          <w:sz w:val="27"/>
          <w:szCs w:val="27"/>
        </w:rPr>
        <w:t>提升计划，均为全国高等教育发展提供了借鉴经验。</w:t>
      </w:r>
    </w:p>
    <w:p w:rsidR="006237A0" w:rsidRDefault="006237A0"/>
    <w:p w:rsidR="006237A0" w:rsidRDefault="006237A0" w:rsidP="006237A0"/>
    <w:p w:rsidR="00EB6AAE" w:rsidRPr="006237A0" w:rsidRDefault="006237A0" w:rsidP="006237A0">
      <w:pPr>
        <w:tabs>
          <w:tab w:val="left" w:pos="1125"/>
        </w:tabs>
      </w:pPr>
      <w:r>
        <w:tab/>
      </w:r>
    </w:p>
    <w:sectPr w:rsidR="00EB6AAE" w:rsidRPr="006237A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88A" w:rsidRDefault="00E9388A" w:rsidP="006237A0">
      <w:r>
        <w:separator/>
      </w:r>
    </w:p>
  </w:endnote>
  <w:endnote w:type="continuationSeparator" w:id="0">
    <w:p w:rsidR="00E9388A" w:rsidRDefault="00E9388A" w:rsidP="0062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16416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237A0" w:rsidRPr="006237A0" w:rsidRDefault="006237A0">
        <w:pPr>
          <w:pStyle w:val="a8"/>
          <w:jc w:val="center"/>
          <w:rPr>
            <w:sz w:val="28"/>
            <w:szCs w:val="28"/>
          </w:rPr>
        </w:pPr>
        <w:r w:rsidRPr="006237A0">
          <w:rPr>
            <w:sz w:val="28"/>
            <w:szCs w:val="28"/>
          </w:rPr>
          <w:fldChar w:fldCharType="begin"/>
        </w:r>
        <w:r w:rsidRPr="006237A0">
          <w:rPr>
            <w:sz w:val="28"/>
            <w:szCs w:val="28"/>
          </w:rPr>
          <w:instrText>PAGE   \* MERGEFORMAT</w:instrText>
        </w:r>
        <w:r w:rsidRPr="006237A0">
          <w:rPr>
            <w:sz w:val="28"/>
            <w:szCs w:val="28"/>
          </w:rPr>
          <w:fldChar w:fldCharType="separate"/>
        </w:r>
        <w:r w:rsidR="00187391" w:rsidRPr="00187391">
          <w:rPr>
            <w:noProof/>
            <w:sz w:val="28"/>
            <w:szCs w:val="28"/>
            <w:lang w:val="zh-CN"/>
          </w:rPr>
          <w:t>4</w:t>
        </w:r>
        <w:r w:rsidRPr="006237A0">
          <w:rPr>
            <w:sz w:val="28"/>
            <w:szCs w:val="28"/>
          </w:rPr>
          <w:fldChar w:fldCharType="end"/>
        </w:r>
      </w:p>
    </w:sdtContent>
  </w:sdt>
  <w:p w:rsidR="006237A0" w:rsidRDefault="006237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88A" w:rsidRDefault="00E9388A" w:rsidP="006237A0">
      <w:r>
        <w:separator/>
      </w:r>
    </w:p>
  </w:footnote>
  <w:footnote w:type="continuationSeparator" w:id="0">
    <w:p w:rsidR="00E9388A" w:rsidRDefault="00E9388A" w:rsidP="00623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A0"/>
    <w:rsid w:val="00187391"/>
    <w:rsid w:val="006237A0"/>
    <w:rsid w:val="006E4B5F"/>
    <w:rsid w:val="00BA52A7"/>
    <w:rsid w:val="00D65E73"/>
    <w:rsid w:val="00E9388A"/>
    <w:rsid w:val="00EB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FE9464-0B0D-4CA0-AE61-BACA1E22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237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237A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37A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237A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6237A0"/>
  </w:style>
  <w:style w:type="character" w:customStyle="1" w:styleId="apple-converted-space">
    <w:name w:val="apple-converted-space"/>
    <w:basedOn w:val="a0"/>
    <w:rsid w:val="006237A0"/>
  </w:style>
  <w:style w:type="character" w:styleId="a3">
    <w:name w:val="Hyperlink"/>
    <w:basedOn w:val="a0"/>
    <w:uiPriority w:val="99"/>
    <w:semiHidden/>
    <w:unhideWhenUsed/>
    <w:rsid w:val="006237A0"/>
    <w:rPr>
      <w:color w:val="0000FF"/>
      <w:u w:val="single"/>
    </w:rPr>
  </w:style>
  <w:style w:type="character" w:styleId="a4">
    <w:name w:val="Emphasis"/>
    <w:basedOn w:val="a0"/>
    <w:uiPriority w:val="20"/>
    <w:qFormat/>
    <w:rsid w:val="006237A0"/>
    <w:rPr>
      <w:i/>
      <w:iCs/>
    </w:rPr>
  </w:style>
  <w:style w:type="paragraph" w:styleId="a5">
    <w:name w:val="Normal (Web)"/>
    <w:basedOn w:val="a"/>
    <w:uiPriority w:val="99"/>
    <w:semiHidden/>
    <w:unhideWhenUsed/>
    <w:rsid w:val="00623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237A0"/>
    <w:rPr>
      <w:b/>
      <w:bCs/>
    </w:rPr>
  </w:style>
  <w:style w:type="paragraph" w:styleId="a7">
    <w:name w:val="header"/>
    <w:basedOn w:val="a"/>
    <w:link w:val="Char"/>
    <w:uiPriority w:val="99"/>
    <w:unhideWhenUsed/>
    <w:rsid w:val="00623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237A0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623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6237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9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427</Words>
  <Characters>2437</Characters>
  <Application>Microsoft Office Word</Application>
  <DocSecurity>0</DocSecurity>
  <Lines>20</Lines>
  <Paragraphs>5</Paragraphs>
  <ScaleCrop>false</ScaleCrop>
  <Company>微软中国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龙海涛</dc:creator>
  <cp:keywords/>
  <dc:description/>
  <cp:lastModifiedBy>龙海涛</cp:lastModifiedBy>
  <cp:revision>2</cp:revision>
  <dcterms:created xsi:type="dcterms:W3CDTF">2018-09-06T01:47:00Z</dcterms:created>
  <dcterms:modified xsi:type="dcterms:W3CDTF">2018-09-06T01:47:00Z</dcterms:modified>
</cp:coreProperties>
</file>