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华南师范大学财务处网上综合服务平台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财务查询系统“学生信息查询模块”使用指南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华南师范大学财务网上综合服务平台网址：</w:t>
      </w:r>
      <w:r>
        <w:fldChar w:fldCharType="begin"/>
      </w:r>
      <w:r>
        <w:instrText xml:space="preserve"> HYPERLINK "https://hscw.scnu.edu.cn/dlpt" </w:instrText>
      </w:r>
      <w:r>
        <w:fldChar w:fldCharType="separate"/>
      </w:r>
      <w:r>
        <w:rPr>
          <w:rStyle w:val="7"/>
          <w:rFonts w:hint="eastAsia"/>
          <w:b/>
          <w:sz w:val="24"/>
        </w:rPr>
        <w:t>https://hscw.scnu.edu.cn/dlpt</w:t>
      </w:r>
      <w:r>
        <w:rPr>
          <w:rStyle w:val="7"/>
          <w:rFonts w:hint="eastAsia"/>
          <w:b/>
          <w:sz w:val="24"/>
        </w:rPr>
        <w:fldChar w:fldCharType="end"/>
      </w:r>
    </w:p>
    <w:p/>
    <w:p>
      <w:pPr>
        <w:ind w:firstLine="482" w:firstLineChars="200"/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一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文字指引</w:t>
      </w:r>
      <w:r>
        <w:rPr>
          <w:rFonts w:hint="eastAsia"/>
          <w:b/>
          <w:sz w:val="24"/>
        </w:rPr>
        <w:t>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打开财务网上综合服务平台→使用</w:t>
      </w:r>
      <w:r>
        <w:rPr>
          <w:rFonts w:hint="eastAsia"/>
          <w:b/>
          <w:color w:val="FF0000"/>
          <w:sz w:val="24"/>
        </w:rPr>
        <w:t>专用账号</w:t>
      </w:r>
      <w:r>
        <w:rPr>
          <w:rFonts w:hint="eastAsia"/>
          <w:sz w:val="24"/>
        </w:rPr>
        <w:t>登录→点击“财务查询系统”→右上角点击“切换至领导”→在“学生信息”中查询学宿费缴费情况。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二、图文指引：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1、打开网上综合服务平台：</w:t>
      </w:r>
      <w:r>
        <w:fldChar w:fldCharType="begin"/>
      </w:r>
      <w:r>
        <w:instrText xml:space="preserve"> HYPERLINK "https://hscw.scnu.edu.cn/dlpt" </w:instrText>
      </w:r>
      <w:r>
        <w:fldChar w:fldCharType="separate"/>
      </w:r>
      <w:r>
        <w:rPr>
          <w:rStyle w:val="7"/>
          <w:rFonts w:hint="eastAsia"/>
          <w:sz w:val="24"/>
        </w:rPr>
        <w:t>https://hscw.scnu.edu.cn/dlpt</w:t>
      </w:r>
      <w:r>
        <w:rPr>
          <w:rStyle w:val="7"/>
          <w:rFonts w:hint="eastAsia"/>
          <w:sz w:val="24"/>
        </w:rPr>
        <w:fldChar w:fldCharType="end"/>
      </w:r>
      <w:r>
        <w:rPr>
          <w:rFonts w:hint="eastAsia"/>
          <w:sz w:val="24"/>
        </w:rPr>
        <w:t>。</w:t>
      </w:r>
      <w:r>
        <w:rPr>
          <w:sz w:val="24"/>
        </w:rPr>
        <w:t>输入</w:t>
      </w:r>
      <w:r>
        <w:rPr>
          <w:rFonts w:hint="eastAsia"/>
          <w:b/>
          <w:color w:val="FF0000"/>
          <w:sz w:val="24"/>
          <w:highlight w:val="yellow"/>
        </w:rPr>
        <w:t>专用</w:t>
      </w:r>
      <w:r>
        <w:rPr>
          <w:b/>
          <w:color w:val="FF0000"/>
          <w:sz w:val="24"/>
          <w:highlight w:val="yellow"/>
        </w:rPr>
        <w:t>账号</w:t>
      </w:r>
      <w:r>
        <w:rPr>
          <w:rFonts w:hint="eastAsia"/>
          <w:sz w:val="24"/>
        </w:rPr>
        <w:t>、</w:t>
      </w:r>
      <w:r>
        <w:rPr>
          <w:rFonts w:hint="eastAsia"/>
          <w:b/>
          <w:color w:val="FF0000"/>
          <w:sz w:val="24"/>
          <w:highlight w:val="yellow"/>
        </w:rPr>
        <w:t>密码</w:t>
      </w:r>
      <w:r>
        <w:rPr>
          <w:rFonts w:hint="eastAsia"/>
          <w:sz w:val="24"/>
        </w:rPr>
        <w:t>登录系统。</w:t>
      </w:r>
    </w:p>
    <w:p>
      <w:pPr>
        <w:ind w:firstLine="482" w:firstLineChars="200"/>
        <w:rPr>
          <w:b/>
          <w:color w:val="FF0000"/>
          <w:sz w:val="24"/>
        </w:rPr>
      </w:pPr>
      <w:r>
        <w:rPr>
          <w:rFonts w:hint="eastAsia" w:ascii="宋体" w:hAnsi="宋体" w:cs="宋体"/>
          <w:b/>
          <w:bCs/>
          <w:color w:val="FF0000"/>
          <w:sz w:val="24"/>
          <w:highlight w:val="yellow"/>
        </w:rPr>
        <w:t>★</w:t>
      </w:r>
      <w:r>
        <w:rPr>
          <w:rFonts w:hint="eastAsia"/>
          <w:b/>
          <w:color w:val="FF0000"/>
          <w:sz w:val="24"/>
          <w:highlight w:val="yellow"/>
        </w:rPr>
        <w:t>温馨提示：</w:t>
      </w:r>
    </w:p>
    <w:p>
      <w:pPr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未开通专用账号、已开通专用账号但忘记账号或登录密码的，由本单位办公室主任填写申请表（详见文末附件）并加盖公章，扫描件发送至财务处信息科邮箱办理（邮箱：</w:t>
      </w:r>
      <w:r>
        <w:fldChar w:fldCharType="begin"/>
      </w:r>
      <w:r>
        <w:instrText xml:space="preserve"> HYPERLINK "mailto:hs816@scnu.edu.cn" </w:instrText>
      </w:r>
      <w:r>
        <w:fldChar w:fldCharType="separate"/>
      </w:r>
      <w:r>
        <w:rPr>
          <w:rStyle w:val="7"/>
          <w:rFonts w:hint="eastAsia"/>
          <w:b/>
          <w:sz w:val="24"/>
        </w:rPr>
        <w:t>hs816@scnu.edu.cn</w:t>
      </w:r>
      <w:r>
        <w:rPr>
          <w:rStyle w:val="7"/>
          <w:rFonts w:hint="eastAsia"/>
          <w:b/>
          <w:sz w:val="24"/>
        </w:rPr>
        <w:fldChar w:fldCharType="end"/>
      </w:r>
      <w:r>
        <w:rPr>
          <w:rFonts w:hint="eastAsia"/>
          <w:b/>
          <w:color w:val="FF0000"/>
          <w:sz w:val="24"/>
        </w:rPr>
        <w:t>）。</w:t>
      </w:r>
    </w:p>
    <w:p>
      <w:pPr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发送邮件后请联系张老师，电话：85211126转605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29895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2、点击“</w:t>
      </w:r>
      <w:r>
        <w:rPr>
          <w:rFonts w:hint="eastAsia"/>
          <w:b/>
          <w:color w:val="FF0000"/>
          <w:sz w:val="24"/>
        </w:rPr>
        <w:t>财务查询系统</w:t>
      </w:r>
      <w:r>
        <w:rPr>
          <w:rFonts w:hint="eastAsia"/>
          <w:sz w:val="24"/>
        </w:rPr>
        <w:t>”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33039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3、右上角点击“</w:t>
      </w:r>
      <w:r>
        <w:rPr>
          <w:rFonts w:hint="eastAsia"/>
          <w:b/>
          <w:color w:val="FF0000"/>
          <w:sz w:val="24"/>
        </w:rPr>
        <w:t>切换至领导</w:t>
      </w:r>
      <w:r>
        <w:rPr>
          <w:rFonts w:hint="eastAsia"/>
          <w:sz w:val="24"/>
        </w:rPr>
        <w:t>”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36087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4、点击“</w:t>
      </w:r>
      <w:r>
        <w:rPr>
          <w:rFonts w:hint="eastAsia"/>
          <w:b/>
          <w:color w:val="FF0000"/>
          <w:sz w:val="24"/>
        </w:rPr>
        <w:t>学生信息</w:t>
      </w:r>
      <w:r>
        <w:rPr>
          <w:rFonts w:hint="eastAsia"/>
          <w:sz w:val="24"/>
        </w:rPr>
        <w:t>”。在“学生信息”中，可以查询本单位“欠费情况统计表”、“收费情况统计表”、“学生缴费情况统计表”、“学生缴费情况明细统计表”等信息。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18967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color w:val="FF0000"/>
          <w:sz w:val="28"/>
        </w:rPr>
      </w:pPr>
      <w:r>
        <w:rPr>
          <w:rFonts w:hint="eastAsia"/>
          <w:b/>
          <w:color w:val="FF0000"/>
          <w:sz w:val="28"/>
          <w:highlight w:val="yellow"/>
        </w:rPr>
        <w:t>5、查询学生欠费明细表</w:t>
      </w:r>
      <w:r>
        <w:rPr>
          <w:rFonts w:hint="eastAsia"/>
          <w:color w:val="FF0000"/>
          <w:sz w:val="28"/>
        </w:rPr>
        <w:t>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点击“</w:t>
      </w:r>
      <w:r>
        <w:rPr>
          <w:rFonts w:hint="eastAsia"/>
          <w:b/>
          <w:color w:val="FF0000"/>
          <w:sz w:val="24"/>
        </w:rPr>
        <w:t>欠费情况统计表</w:t>
      </w:r>
      <w:r>
        <w:rPr>
          <w:rFonts w:hint="eastAsia"/>
          <w:sz w:val="24"/>
        </w:rPr>
        <w:t>” →选择</w:t>
      </w:r>
      <w:r>
        <w:rPr>
          <w:rFonts w:hint="eastAsia"/>
          <w:b/>
          <w:color w:val="FF0000"/>
          <w:sz w:val="24"/>
        </w:rPr>
        <w:t>收费期间</w:t>
      </w:r>
      <w:r>
        <w:rPr>
          <w:rFonts w:hint="eastAsia"/>
          <w:sz w:val="24"/>
        </w:rPr>
        <w:t>→显示范围：</w:t>
      </w:r>
      <w:r>
        <w:rPr>
          <w:rFonts w:hint="eastAsia"/>
          <w:b/>
          <w:color w:val="FF0000"/>
          <w:sz w:val="24"/>
        </w:rPr>
        <w:t>已欠费</w:t>
      </w:r>
      <w:r>
        <w:rPr>
          <w:rFonts w:hint="eastAsia"/>
          <w:sz w:val="24"/>
        </w:rPr>
        <w:t>→点击“查询”。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28174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6、点击“</w:t>
      </w:r>
      <w:r>
        <w:rPr>
          <w:rFonts w:hint="eastAsia"/>
          <w:b/>
          <w:color w:val="FF0000"/>
          <w:sz w:val="24"/>
        </w:rPr>
        <w:t>超链接</w:t>
      </w:r>
      <w:r>
        <w:rPr>
          <w:rFonts w:hint="eastAsia"/>
          <w:sz w:val="24"/>
        </w:rPr>
        <w:t>”→</w:t>
      </w:r>
      <w:r>
        <w:rPr>
          <w:rFonts w:hint="eastAsia"/>
          <w:b/>
          <w:color w:val="FF0000"/>
          <w:sz w:val="24"/>
        </w:rPr>
        <w:t>明细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191579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sz w:val="24"/>
        </w:rPr>
        <w:br w:type="page"/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7、选择</w:t>
      </w:r>
      <w:r>
        <w:rPr>
          <w:rFonts w:hint="eastAsia"/>
          <w:b/>
          <w:color w:val="FF0000"/>
          <w:sz w:val="28"/>
          <w:highlight w:val="yellow"/>
        </w:rPr>
        <w:t>汇总方式：个人</w:t>
      </w:r>
      <w:r>
        <w:rPr>
          <w:rFonts w:hint="eastAsia"/>
          <w:sz w:val="24"/>
        </w:rPr>
        <w:t>，点击“查询”。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31654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8、导出明细：选择“</w:t>
      </w:r>
      <w:r>
        <w:rPr>
          <w:rFonts w:hint="eastAsia"/>
          <w:b/>
          <w:color w:val="FF0000"/>
          <w:sz w:val="24"/>
        </w:rPr>
        <w:t>报表</w:t>
      </w:r>
      <w:r>
        <w:rPr>
          <w:rFonts w:hint="eastAsia"/>
          <w:sz w:val="24"/>
        </w:rPr>
        <w:t>”→导出对应格式文档。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21551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 w:type="page"/>
      </w:r>
    </w:p>
    <w:p>
      <w:pPr>
        <w:adjustRightInd w:val="0"/>
        <w:snapToGrid w:val="0"/>
        <w:spacing w:line="480" w:lineRule="exac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华南师范大学财务网上综合服务平台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“学生信息查询模块”业务办理申请表</w:t>
      </w:r>
    </w:p>
    <w:p>
      <w:pPr>
        <w:widowControl/>
        <w:jc w:val="center"/>
        <w:rPr>
          <w:rFonts w:ascii="宋体" w:hAnsi="宋体"/>
          <w:b/>
          <w:sz w:val="32"/>
          <w:szCs w:val="30"/>
        </w:rPr>
      </w:pPr>
    </w:p>
    <w:p>
      <w:pPr>
        <w:widowControl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单位（盖章）：</w:t>
      </w:r>
      <w:r>
        <w:rPr>
          <w:rFonts w:hint="eastAsia" w:ascii="宋体" w:hAnsi="宋体"/>
          <w:b/>
          <w:sz w:val="24"/>
          <w:szCs w:val="28"/>
        </w:rPr>
        <w:t xml:space="preserve"> </w:t>
      </w:r>
    </w:p>
    <w:tbl>
      <w:tblPr>
        <w:tblStyle w:val="5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698"/>
        <w:gridCol w:w="1559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业务类型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账号开通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密码重置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部门名称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部门代码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账号管理员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申请事由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wordWrap w:val="0"/>
              <w:spacing w:before="156" w:beforeLines="50" w:after="156" w:afterLines="5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   日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申请单位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审批意见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wordWrap w:val="0"/>
              <w:spacing w:before="156" w:beforeLines="50" w:after="156" w:afterLines="50"/>
              <w:ind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56" w:beforeLines="50" w:after="156" w:afterLines="50"/>
              <w:ind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   日</w:t>
            </w:r>
          </w:p>
        </w:tc>
      </w:tr>
    </w:tbl>
    <w:p>
      <w:pPr>
        <w:adjustRightInd w:val="0"/>
        <w:snapToGrid w:val="0"/>
        <w:spacing w:before="312" w:beforeLines="100" w:after="312" w:afterLines="100"/>
        <w:contextualSpacing/>
        <w:outlineLvl w:val="1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adjustRightInd w:val="0"/>
        <w:snapToGrid w:val="0"/>
        <w:spacing w:before="312" w:beforeLines="100" w:after="312" w:afterLines="100"/>
        <w:contextualSpacing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ascii="仿宋" w:hAnsi="仿宋" w:eastAsia="仿宋"/>
          <w:sz w:val="24"/>
          <w:szCs w:val="24"/>
        </w:rPr>
        <w:t>平台</w:t>
      </w:r>
      <w:r>
        <w:rPr>
          <w:rFonts w:hint="eastAsia" w:ascii="仿宋" w:hAnsi="仿宋" w:eastAsia="仿宋"/>
          <w:sz w:val="24"/>
          <w:szCs w:val="24"/>
        </w:rPr>
        <w:t>专用</w:t>
      </w:r>
      <w:r>
        <w:rPr>
          <w:rFonts w:ascii="仿宋" w:hAnsi="仿宋" w:eastAsia="仿宋"/>
          <w:sz w:val="24"/>
          <w:szCs w:val="24"/>
        </w:rPr>
        <w:t>账号</w:t>
      </w:r>
      <w:r>
        <w:rPr>
          <w:rFonts w:hint="eastAsia" w:ascii="仿宋" w:hAnsi="仿宋" w:eastAsia="仿宋"/>
          <w:sz w:val="24"/>
          <w:szCs w:val="24"/>
        </w:rPr>
        <w:t>原则上</w:t>
      </w:r>
      <w:r>
        <w:rPr>
          <w:rFonts w:ascii="仿宋" w:hAnsi="仿宋" w:eastAsia="仿宋"/>
          <w:sz w:val="24"/>
          <w:szCs w:val="24"/>
        </w:rPr>
        <w:t>由</w:t>
      </w:r>
      <w:r>
        <w:rPr>
          <w:rFonts w:hint="eastAsia" w:ascii="仿宋" w:hAnsi="仿宋" w:eastAsia="仿宋"/>
          <w:sz w:val="24"/>
          <w:szCs w:val="24"/>
        </w:rPr>
        <w:t>本</w:t>
      </w:r>
      <w:r>
        <w:rPr>
          <w:rFonts w:ascii="仿宋" w:hAnsi="仿宋" w:eastAsia="仿宋"/>
          <w:sz w:val="24"/>
          <w:szCs w:val="24"/>
        </w:rPr>
        <w:t>单位办公室主任申请并负责管理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adjustRightInd w:val="0"/>
        <w:snapToGrid w:val="0"/>
        <w:spacing w:before="312" w:beforeLines="100" w:after="312" w:afterLines="100"/>
        <w:contextualSpacing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2.如单位办公室主任变更请做好平台专用账号交接工作。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TFlYjM2YWE0YjI3NmYwZWRjOTE2ZWE3ZDdkNjYifQ=="/>
  </w:docVars>
  <w:rsids>
    <w:rsidRoot w:val="00C85A73"/>
    <w:rsid w:val="00003A0F"/>
    <w:rsid w:val="00067190"/>
    <w:rsid w:val="000828C3"/>
    <w:rsid w:val="00136E2B"/>
    <w:rsid w:val="00220450"/>
    <w:rsid w:val="00237B30"/>
    <w:rsid w:val="00263690"/>
    <w:rsid w:val="00271F3B"/>
    <w:rsid w:val="002C2398"/>
    <w:rsid w:val="00326594"/>
    <w:rsid w:val="00327FBF"/>
    <w:rsid w:val="00334C2B"/>
    <w:rsid w:val="0036508D"/>
    <w:rsid w:val="003972F8"/>
    <w:rsid w:val="003A0078"/>
    <w:rsid w:val="003D1AC9"/>
    <w:rsid w:val="00432991"/>
    <w:rsid w:val="0046383B"/>
    <w:rsid w:val="004D5D0B"/>
    <w:rsid w:val="004E761E"/>
    <w:rsid w:val="00503977"/>
    <w:rsid w:val="00557CEC"/>
    <w:rsid w:val="006B603B"/>
    <w:rsid w:val="006C104D"/>
    <w:rsid w:val="006D501E"/>
    <w:rsid w:val="00724DB2"/>
    <w:rsid w:val="00744AD0"/>
    <w:rsid w:val="00777392"/>
    <w:rsid w:val="007E0435"/>
    <w:rsid w:val="00871FBB"/>
    <w:rsid w:val="00994F0E"/>
    <w:rsid w:val="009B03B7"/>
    <w:rsid w:val="009B1536"/>
    <w:rsid w:val="009B27D0"/>
    <w:rsid w:val="009B6AB0"/>
    <w:rsid w:val="009D039D"/>
    <w:rsid w:val="00AB0B59"/>
    <w:rsid w:val="00B5494A"/>
    <w:rsid w:val="00C85A73"/>
    <w:rsid w:val="00CA26E8"/>
    <w:rsid w:val="00CB182B"/>
    <w:rsid w:val="00CE6164"/>
    <w:rsid w:val="00EC0C04"/>
    <w:rsid w:val="00EE345F"/>
    <w:rsid w:val="3094431C"/>
    <w:rsid w:val="403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DB9A-08F0-4E79-910E-9726C849A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635</Words>
  <Characters>718</Characters>
  <Lines>7</Lines>
  <Paragraphs>1</Paragraphs>
  <TotalTime>107</TotalTime>
  <ScaleCrop>false</ScaleCrop>
  <LinksUpToDate>false</LinksUpToDate>
  <CharactersWithSpaces>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2021-07-15T08:20:00Z</dcterms:created>
  <dc:creator>王日董</dc:creator>
  <cp:lastModifiedBy>笑南chen</cp:lastModifiedBy>
  <dcterms:modified xsi:type="dcterms:W3CDTF">2023-07-19T02:49:30Z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5810D480B2B14C78B767FE92E7B1C9C5_13</vt:lpwstr>
  </property>
</Properties>
</file>