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jc w:val="center"/>
        <w:rPr>
          <w:rFonts w:hint="eastAsia" w:ascii="方正大标宋简体" w:hAnsi="方正大标宋简体" w:eastAsia="方正大标宋简体" w:cs="方正大标宋简体"/>
          <w:sz w:val="40"/>
          <w:szCs w:val="22"/>
          <w:lang w:val="en-US" w:eastAsia="zh-Hans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22"/>
          <w:lang w:val="en-US" w:eastAsia="zh-Hans"/>
        </w:rPr>
        <w:t>体检不合格不予录取症状表现</w:t>
      </w:r>
    </w:p>
    <w:p>
      <w:pPr>
        <w:rPr>
          <w:rFonts w:hint="default" w:ascii="Times New Roman Regular" w:hAnsi="Times New Roman Regular" w:eastAsia="宋体" w:cs="Times New Roman Regular"/>
          <w:b/>
          <w:bCs/>
          <w:sz w:val="28"/>
          <w:szCs w:val="36"/>
          <w:u w:val="single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8"/>
          <w:szCs w:val="36"/>
          <w:u w:val="single"/>
        </w:rPr>
        <w:t>有下列疾病或生理缺陷者，不能录取：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器质性心脏血管病〔风湿性心脏病，先天性心脏病（经手术治愈者除外）、心肌病、频发性期前收缩，心电图不正常〕。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血压超过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140</w:t>
      </w:r>
      <w:r>
        <w:rPr>
          <w:rFonts w:hint="default" w:ascii="Times New Roman" w:hAnsi="Times New Roman" w:eastAsia="宋体" w:cs="Times New Roman"/>
          <w:sz w:val="28"/>
          <w:szCs w:val="28"/>
        </w:rPr>
        <w:t>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sz w:val="28"/>
          <w:szCs w:val="28"/>
        </w:rPr>
        <w:t>毫米汞柱，低于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86</w:t>
      </w:r>
      <w:r>
        <w:rPr>
          <w:rFonts w:hint="default" w:ascii="Times New Roman" w:hAnsi="Times New Roman" w:eastAsia="宋体" w:cs="Times New Roman"/>
          <w:sz w:val="28"/>
          <w:szCs w:val="28"/>
        </w:rPr>
        <w:t>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56</w:t>
      </w:r>
      <w:r>
        <w:rPr>
          <w:rFonts w:hint="default" w:ascii="Times New Roman" w:hAnsi="Times New Roman" w:eastAsia="宋体" w:cs="Times New Roman"/>
          <w:sz w:val="28"/>
          <w:szCs w:val="28"/>
        </w:rPr>
        <w:t>毫米汞柱。单项收缩压超过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160</w:t>
      </w:r>
      <w:r>
        <w:rPr>
          <w:rFonts w:hint="default" w:ascii="Times New Roman" w:hAnsi="Times New Roman" w:eastAsia="宋体" w:cs="Times New Roman"/>
          <w:sz w:val="28"/>
          <w:szCs w:val="28"/>
        </w:rPr>
        <w:t>、低于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sz w:val="28"/>
          <w:szCs w:val="28"/>
        </w:rPr>
        <w:t>毫米汞柱。舒张压超过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sz w:val="28"/>
          <w:szCs w:val="28"/>
        </w:rPr>
        <w:t>、低于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sz w:val="28"/>
          <w:szCs w:val="28"/>
        </w:rPr>
        <w:t>毫米汞柱。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结核病，除下列情况外，均不能录取：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①原发型肺结核、浸润型肺结核，已硬结稳定。结核性胸膜炎已治愈，或治愈后遗有胸膜肥厚者。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②一切肺外结核（肾结核、骨结核、腹膜结核等）、血行播散型肺结核，治愈后两年以上未复发、经县以上医院（或结核病防治所）专科检查无变化者。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③淋巴腺结核已临床治愈无症状者。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支气管扩张病。幼年时患过支气管哮喘病，上高中后仍复发者。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肝大、质中等硬度以上；肝、脾同时触及，肝在肋下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公分以内，脾在肋下１公分以内，肝功能不正常；肝在肋下超过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公分（肝生理性下垂除外）；单纯脾大超过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公分，脾功能亢进；单纯脾大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公分以上。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有各种恶性肿瘤病史者。各种结缔组织疾病（胶原疾病）。内分泌系统疾病（如糖尿病、尿崩症、肢端肥大症等）。血液病（单纯缺铁性贫血，血红蛋白男性考生高于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9%</w:t>
      </w:r>
      <w:r>
        <w:rPr>
          <w:rFonts w:hint="default" w:ascii="Times New Roman" w:hAnsi="Times New Roman" w:eastAsia="宋体" w:cs="Times New Roman"/>
          <w:sz w:val="28"/>
          <w:szCs w:val="28"/>
        </w:rPr>
        <w:t>克，女性考生高于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8%</w:t>
      </w:r>
      <w:r>
        <w:rPr>
          <w:rFonts w:hint="default" w:ascii="Times New Roman" w:hAnsi="Times New Roman" w:eastAsia="宋体" w:cs="Times New Roman"/>
          <w:sz w:val="28"/>
          <w:szCs w:val="28"/>
        </w:rPr>
        <w:t>克可录取）。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慢性肾炎。急性肾炎治愈不足两年，或虽已治愈两年，但尿蛋白阳性，尿镜检不正常。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有癫痫病史、精神病史、癔病史、遗尿症、夜游症。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肺切除超过一叶；肺不张一叶以上。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类风湿脊柱强直。慢性骨髓炎。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麻风病患者（结核样型麻风病，经专科医生检查确已治愈一年以上者除外）。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青光眼、视网膜、视神经疾病（陈旧性或稳定性眼底病除外）。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两眼矫正视力之和低于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1.0</w:t>
      </w:r>
      <w:r>
        <w:rPr>
          <w:rFonts w:hint="default" w:ascii="Times New Roman" w:hAnsi="Times New Roman" w:eastAsia="宋体" w:cs="Times New Roman"/>
          <w:sz w:val="28"/>
          <w:szCs w:val="28"/>
        </w:rPr>
        <w:t>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两耳听力均低于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两上肢或两下肢不能运用者。</w:t>
      </w:r>
    </w:p>
    <w:p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除上述各项外，有影响健康和学习的地方病，能否录取，由各省、自治区、直辖市根据本地区的特点和专业要求研究确定。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DD5527F-4640-47F9-B669-710A35F1E7E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EB758B2-9927-4170-9C84-6167CC8711BC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3" w:fontKey="{A016225F-6D96-4BE5-AF31-7D196DA01A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zUyOThkM2RiOTkxMWJjMzAzZTM0MTJiMDlkMTQifQ=="/>
  </w:docVars>
  <w:rsids>
    <w:rsidRoot w:val="FFE6E73A"/>
    <w:rsid w:val="244F5E94"/>
    <w:rsid w:val="38C01877"/>
    <w:rsid w:val="50A95AF6"/>
    <w:rsid w:val="9EDD6870"/>
    <w:rsid w:val="BFF7A386"/>
    <w:rsid w:val="E9BB8575"/>
    <w:rsid w:val="FFE6E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autoRedefine/>
    <w:qFormat/>
    <w:uiPriority w:val="0"/>
    <w:pPr>
      <w:spacing w:line="240" w:lineRule="auto"/>
      <w:jc w:val="center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2023-04-13T13:19:00Z</dcterms:created>
  <dc:creator>笑南chen</dc:creator>
  <cp:lastModifiedBy>笑南chen</cp:lastModifiedBy>
  <dcterms:modified xsi:type="dcterms:W3CDTF">2024-04-16T02:57:15Z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BC8EE644C4C047368D84EA2B4487C92F_13</vt:lpwstr>
  </property>
</Properties>
</file>