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
          <w:bCs w:val="0"/>
          <w:color w:val="000000" w:themeColor="text1"/>
          <w:sz w:val="32"/>
          <w:szCs w:val="32"/>
          <w:lang w:val="en-US" w:eastAsia="zh-CN"/>
          <w14:textFill>
            <w14:solidFill>
              <w14:schemeClr w14:val="tx1"/>
            </w14:solidFill>
          </w14:textFill>
        </w:rPr>
      </w:pPr>
      <w:r>
        <w:rPr>
          <w:rFonts w:hint="eastAsia" w:ascii="黑体" w:hAnsi="黑体" w:eastAsia="黑体" w:cs="黑体"/>
          <w:b/>
          <w:bCs w:val="0"/>
          <w:color w:val="000000" w:themeColor="text1"/>
          <w:sz w:val="32"/>
          <w:szCs w:val="32"/>
          <w14:textFill>
            <w14:solidFill>
              <w14:schemeClr w14:val="tx1"/>
            </w14:solidFill>
          </w14:textFill>
        </w:rPr>
        <w:t>2020年度“中</w:t>
      </w:r>
      <w:bookmarkStart w:id="0" w:name="_GoBack"/>
      <w:bookmarkEnd w:id="0"/>
      <w:r>
        <w:rPr>
          <w:rFonts w:hint="eastAsia" w:ascii="黑体" w:hAnsi="黑体" w:eastAsia="黑体" w:cs="黑体"/>
          <w:b/>
          <w:bCs w:val="0"/>
          <w:color w:val="000000" w:themeColor="text1"/>
          <w:sz w:val="32"/>
          <w:szCs w:val="32"/>
          <w14:textFill>
            <w14:solidFill>
              <w14:schemeClr w14:val="tx1"/>
            </w14:solidFill>
          </w14:textFill>
        </w:rPr>
        <w:t>国电信奖学金”</w:t>
      </w:r>
      <w:r>
        <w:rPr>
          <w:rFonts w:hint="eastAsia" w:ascii="黑体" w:hAnsi="黑体" w:eastAsia="黑体" w:cs="黑体"/>
          <w:b/>
          <w:bCs w:val="0"/>
          <w:color w:val="000000" w:themeColor="text1"/>
          <w:sz w:val="32"/>
          <w:szCs w:val="32"/>
          <w:lang w:val="en-US" w:eastAsia="zh-CN"/>
          <w14:textFill>
            <w14:solidFill>
              <w14:schemeClr w14:val="tx1"/>
            </w14:solidFill>
          </w14:textFill>
        </w:rPr>
        <w:t>评选通知</w:t>
      </w:r>
    </w:p>
    <w:p>
      <w:pPr>
        <w:spacing w:line="560" w:lineRule="exact"/>
        <w:ind w:firstLine="48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“中国电信奖学金”</w:t>
      </w:r>
      <w:r>
        <w:rPr>
          <w:rFonts w:hint="eastAsia" w:ascii="宋体" w:hAnsi="宋体" w:eastAsia="宋体" w:cs="宋体"/>
          <w:b w:val="0"/>
          <w:bCs w:val="0"/>
          <w:color w:val="auto"/>
          <w:sz w:val="24"/>
          <w:szCs w:val="24"/>
          <w:lang w:val="en-US" w:eastAsia="zh-CN"/>
        </w:rPr>
        <w:t>申请</w:t>
      </w:r>
      <w:r>
        <w:rPr>
          <w:rFonts w:hint="eastAsia" w:ascii="宋体" w:hAnsi="宋体" w:eastAsia="宋体" w:cs="宋体"/>
          <w:b/>
          <w:bCs/>
          <w:color w:val="auto"/>
          <w:sz w:val="24"/>
          <w:szCs w:val="24"/>
          <w:lang w:val="en-US" w:eastAsia="zh-CN"/>
        </w:rPr>
        <w:t>名额少难度大</w:t>
      </w:r>
      <w:r>
        <w:rPr>
          <w:rFonts w:hint="eastAsia" w:ascii="宋体" w:hAnsi="宋体" w:eastAsia="宋体" w:cs="宋体"/>
          <w:color w:val="000000" w:themeColor="text1"/>
          <w:sz w:val="24"/>
          <w:szCs w:val="24"/>
          <w:lang w:val="en-US" w:eastAsia="zh-CN"/>
          <w14:textFill>
            <w14:solidFill>
              <w14:schemeClr w14:val="tx1"/>
            </w14:solidFill>
          </w14:textFill>
        </w:rPr>
        <w:t>，每校推荐不超过2名候选人至省级评委会。若有意愿申请的同学请详细阅读通知并于</w:t>
      </w:r>
      <w:r>
        <w:rPr>
          <w:rFonts w:hint="eastAsia" w:ascii="宋体" w:hAnsi="宋体" w:eastAsia="宋体" w:cs="宋体"/>
          <w:b/>
          <w:bCs/>
          <w:color w:val="C00000"/>
          <w:sz w:val="24"/>
          <w:szCs w:val="24"/>
          <w:highlight w:val="yellow"/>
          <w:lang w:val="en-US" w:eastAsia="zh-CN"/>
        </w:rPr>
        <w:t>7月13日（周二）下午16:00前</w:t>
      </w:r>
      <w:r>
        <w:rPr>
          <w:rFonts w:hint="eastAsia" w:ascii="宋体" w:hAnsi="宋体" w:eastAsia="宋体" w:cs="宋体"/>
          <w:color w:val="000000" w:themeColor="text1"/>
          <w:sz w:val="24"/>
          <w:szCs w:val="24"/>
          <w:lang w:val="en-US" w:eastAsia="zh-CN"/>
          <w14:textFill>
            <w14:solidFill>
              <w14:schemeClr w14:val="tx1"/>
            </w14:solidFill>
          </w14:textFill>
        </w:rPr>
        <w:t xml:space="preserve">提交以下材料：    </w:t>
      </w:r>
    </w:p>
    <w:p>
      <w:pPr>
        <w:numPr>
          <w:ilvl w:val="0"/>
          <w:numId w:val="1"/>
        </w:numPr>
        <w:spacing w:line="560" w:lineRule="exact"/>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纸质版材料</w:t>
      </w:r>
    </w:p>
    <w:p>
      <w:pPr>
        <w:numPr>
          <w:ilvl w:val="0"/>
          <w:numId w:val="2"/>
        </w:numPr>
        <w:spacing w:line="560" w:lineRule="exact"/>
        <w:ind w:left="0" w:leftChars="0" w:firstLine="480" w:firstLineChars="200"/>
        <w:rPr>
          <w:rFonts w:hint="eastAsia" w:ascii="宋体" w:hAnsi="宋体" w:eastAsia="宋体" w:cs="宋体"/>
          <w:b/>
          <w:bCs/>
          <w:color w:val="C00000"/>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《申报表》</w:t>
      </w:r>
      <w:r>
        <w:rPr>
          <w:rFonts w:hint="eastAsia" w:ascii="宋体" w:hAnsi="宋体" w:cs="宋体"/>
          <w:color w:val="000000" w:themeColor="text1"/>
          <w:sz w:val="24"/>
          <w:szCs w:val="24"/>
          <w:lang w:val="en-US" w:eastAsia="zh-CN"/>
          <w14:textFill>
            <w14:solidFill>
              <w14:schemeClr w14:val="tx1"/>
            </w14:solidFill>
          </w14:textFill>
        </w:rPr>
        <w:t>纸质版，提交至107办公室</w:t>
      </w:r>
      <w:r>
        <w:rPr>
          <w:rFonts w:hint="eastAsia" w:ascii="宋体" w:hAnsi="宋体" w:eastAsia="宋体" w:cs="宋体"/>
          <w:b/>
          <w:bCs/>
          <w:color w:val="C00000"/>
          <w:sz w:val="24"/>
        </w:rPr>
        <w:t>（</w:t>
      </w:r>
      <w:r>
        <w:rPr>
          <w:rFonts w:hint="eastAsia" w:ascii="宋体" w:hAnsi="宋体" w:eastAsia="宋体" w:cs="宋体"/>
          <w:b/>
          <w:bCs/>
          <w:color w:val="C00000"/>
          <w:sz w:val="24"/>
          <w:lang w:val="en-US" w:eastAsia="zh-CN"/>
        </w:rPr>
        <w:t>注意：申报表</w:t>
      </w:r>
      <w:r>
        <w:rPr>
          <w:rFonts w:hint="eastAsia" w:ascii="宋体" w:hAnsi="宋体" w:eastAsia="宋体" w:cs="宋体"/>
          <w:b/>
          <w:bCs/>
          <w:color w:val="C00000"/>
          <w:sz w:val="24"/>
        </w:rPr>
        <w:t>证明材料</w:t>
      </w:r>
      <w:r>
        <w:rPr>
          <w:rFonts w:hint="eastAsia" w:ascii="宋体" w:hAnsi="宋体" w:eastAsia="宋体" w:cs="宋体"/>
          <w:b/>
          <w:bCs/>
          <w:color w:val="C00000"/>
          <w:sz w:val="24"/>
          <w:lang w:val="en-US" w:eastAsia="zh-CN"/>
        </w:rPr>
        <w:t>需</w:t>
      </w:r>
      <w:r>
        <w:rPr>
          <w:rFonts w:hint="eastAsia" w:ascii="宋体" w:hAnsi="宋体" w:eastAsia="宋体" w:cs="宋体"/>
          <w:b/>
          <w:bCs/>
          <w:color w:val="C00000"/>
          <w:sz w:val="24"/>
        </w:rPr>
        <w:t>附后）</w:t>
      </w:r>
    </w:p>
    <w:p>
      <w:pPr>
        <w:numPr>
          <w:ilvl w:val="0"/>
          <w:numId w:val="1"/>
        </w:numPr>
        <w:spacing w:line="560" w:lineRule="exact"/>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电子</w:t>
      </w:r>
      <w:r>
        <w:rPr>
          <w:rFonts w:hint="eastAsia" w:ascii="宋体" w:hAnsi="宋体" w:eastAsia="宋体" w:cs="宋体"/>
          <w:b/>
          <w:bCs/>
          <w:color w:val="000000" w:themeColor="text1"/>
          <w:sz w:val="24"/>
          <w:szCs w:val="24"/>
          <w:lang w:val="en-US" w:eastAsia="zh-CN"/>
          <w14:textFill>
            <w14:solidFill>
              <w14:schemeClr w14:val="tx1"/>
            </w14:solidFill>
          </w14:textFill>
        </w:rPr>
        <w:t>版材料</w:t>
      </w:r>
    </w:p>
    <w:p>
      <w:pPr>
        <w:numPr>
          <w:ilvl w:val="0"/>
          <w:numId w:val="3"/>
        </w:numPr>
        <w:spacing w:line="560" w:lineRule="exact"/>
        <w:ind w:left="0" w:leftChars="0"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《申报表》</w:t>
      </w:r>
      <w:r>
        <w:rPr>
          <w:rFonts w:hint="eastAsia" w:ascii="宋体" w:hAnsi="宋体" w:cs="宋体"/>
          <w:color w:val="000000" w:themeColor="text1"/>
          <w:sz w:val="24"/>
          <w:szCs w:val="24"/>
          <w:lang w:val="en-US" w:eastAsia="zh-CN"/>
          <w14:textFill>
            <w14:solidFill>
              <w14:schemeClr w14:val="tx1"/>
            </w14:solidFill>
          </w14:textFill>
        </w:rPr>
        <w:t>电子版，命名为“年级+专业+姓名+申报表”</w:t>
      </w:r>
    </w:p>
    <w:p>
      <w:pPr>
        <w:numPr>
          <w:ilvl w:val="0"/>
          <w:numId w:val="3"/>
        </w:numPr>
        <w:spacing w:line="560" w:lineRule="exact"/>
        <w:ind w:left="0" w:leftChars="0"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《候选人信息汇总表》电子版，命名为“年级+专业+姓名+汇总表”</w:t>
      </w:r>
    </w:p>
    <w:p>
      <w:pPr>
        <w:numPr>
          <w:ilvl w:val="0"/>
          <w:numId w:val="3"/>
        </w:numPr>
        <w:spacing w:line="560" w:lineRule="exact"/>
        <w:ind w:left="0" w:leftChars="0"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b w:val="0"/>
          <w:bCs w:val="0"/>
          <w:color w:val="auto"/>
          <w:sz w:val="24"/>
          <w:lang w:val="en-US" w:eastAsia="zh-CN"/>
        </w:rPr>
        <w:t>申报表事迹</w:t>
      </w:r>
      <w:r>
        <w:rPr>
          <w:rFonts w:hint="eastAsia" w:ascii="宋体" w:hAnsi="宋体" w:eastAsia="宋体" w:cs="宋体"/>
          <w:b/>
          <w:bCs/>
          <w:color w:val="auto"/>
          <w:sz w:val="24"/>
        </w:rPr>
        <w:t>证明材料</w:t>
      </w:r>
      <w:r>
        <w:rPr>
          <w:rFonts w:hint="eastAsia" w:ascii="宋体" w:hAnsi="宋体" w:cs="宋体"/>
          <w:b/>
          <w:bCs/>
          <w:color w:val="auto"/>
          <w:sz w:val="24"/>
          <w:lang w:val="en-US" w:eastAsia="zh-CN"/>
        </w:rPr>
        <w:t>电子版</w:t>
      </w:r>
      <w:r>
        <w:rPr>
          <w:rFonts w:hint="eastAsia" w:ascii="宋体" w:hAnsi="宋体" w:cs="宋体"/>
          <w:b w:val="0"/>
          <w:bCs w:val="0"/>
          <w:color w:val="auto"/>
          <w:sz w:val="24"/>
          <w:lang w:val="en-US" w:eastAsia="zh-CN"/>
        </w:rPr>
        <w:t>：按主要事迹提及顺序进行标序，</w:t>
      </w:r>
      <w:r>
        <w:rPr>
          <w:rFonts w:hint="eastAsia" w:ascii="宋体" w:hAnsi="宋体" w:cs="宋体"/>
          <w:color w:val="000000" w:themeColor="text1"/>
          <w:sz w:val="24"/>
          <w:szCs w:val="24"/>
          <w:lang w:val="en-US" w:eastAsia="zh-CN"/>
          <w14:textFill>
            <w14:solidFill>
              <w14:schemeClr w14:val="tx1"/>
            </w14:solidFill>
          </w14:textFill>
        </w:rPr>
        <w:t>命名为“年级+专业+姓名+证明材料”</w:t>
      </w:r>
    </w:p>
    <w:p>
      <w:pPr>
        <w:numPr>
          <w:ilvl w:val="0"/>
          <w:numId w:val="0"/>
        </w:numPr>
        <w:spacing w:line="560" w:lineRule="exact"/>
        <w:ind w:firstLine="480" w:firstLineChars="200"/>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电子版材料提交至邮箱jky85217720@163.com，命名为“</w:t>
      </w:r>
      <w:r>
        <w:rPr>
          <w:rFonts w:hint="eastAsia" w:ascii="宋体" w:hAnsi="宋体" w:cs="宋体"/>
          <w:color w:val="000000" w:themeColor="text1"/>
          <w:sz w:val="24"/>
          <w:szCs w:val="24"/>
          <w:lang w:val="en-US" w:eastAsia="zh-CN"/>
          <w14:textFill>
            <w14:solidFill>
              <w14:schemeClr w14:val="tx1"/>
            </w14:solidFill>
          </w14:textFill>
        </w:rPr>
        <w:t>年级+专业+姓名+电信奖学金</w:t>
      </w:r>
      <w:r>
        <w:rPr>
          <w:rFonts w:hint="eastAsia" w:ascii="宋体" w:hAnsi="宋体" w:cs="宋体"/>
          <w:b w:val="0"/>
          <w:bCs w:val="0"/>
          <w:color w:val="auto"/>
          <w:sz w:val="24"/>
          <w:szCs w:val="24"/>
          <w:lang w:val="en-US" w:eastAsia="zh-CN"/>
        </w:rPr>
        <w:t>”</w:t>
      </w:r>
    </w:p>
    <w:p>
      <w:pPr>
        <w:numPr>
          <w:ilvl w:val="0"/>
          <w:numId w:val="0"/>
        </w:numPr>
        <w:spacing w:line="560" w:lineRule="exact"/>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spacing w:line="560" w:lineRule="exac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附原通知链接：http://youth.scnu.edu.cn/a/20210709/16705.html</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482" w:firstLineChars="200"/>
        <w:jc w:val="both"/>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推荐范围</w:t>
      </w:r>
    </w:p>
    <w:p>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highlight w:val="yellow"/>
        </w:rPr>
        <w:t>截至2021年暑假前，在学的全日制</w:t>
      </w:r>
      <w:r>
        <w:rPr>
          <w:rFonts w:hint="eastAsia" w:ascii="仿宋" w:hAnsi="仿宋" w:eastAsia="仿宋" w:cs="仿宋"/>
          <w:sz w:val="24"/>
          <w:szCs w:val="24"/>
        </w:rPr>
        <w:t>非成人教育的各类高等院校在校专科生、</w:t>
      </w:r>
      <w:r>
        <w:rPr>
          <w:rFonts w:hint="eastAsia" w:ascii="仿宋" w:hAnsi="仿宋" w:eastAsia="仿宋" w:cs="仿宋"/>
          <w:sz w:val="24"/>
          <w:szCs w:val="24"/>
          <w:highlight w:val="yellow"/>
        </w:rPr>
        <w:t>本科生</w:t>
      </w:r>
      <w:r>
        <w:rPr>
          <w:rFonts w:hint="eastAsia" w:ascii="仿宋" w:hAnsi="仿宋" w:eastAsia="仿宋" w:cs="仿宋"/>
          <w:sz w:val="24"/>
          <w:szCs w:val="24"/>
        </w:rPr>
        <w:t>、硕士研究生和博士研究生（不含在职研究生）。</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482" w:firstLineChars="200"/>
        <w:jc w:val="both"/>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奖学金设置</w:t>
      </w:r>
    </w:p>
    <w:p>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分为“中国电信奖学金·天翼奖”、“中国电信奖学金·飞Young奖”，具体设置如下。</w:t>
      </w:r>
    </w:p>
    <w:p>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b w:val="0"/>
          <w:bCs/>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仿宋" w:hAnsi="仿宋" w:eastAsia="仿宋" w:cs="仿宋"/>
          <w:b w:val="0"/>
          <w:bCs/>
          <w:color w:val="auto"/>
          <w:spacing w:val="0"/>
          <w:w w:val="100"/>
          <w:kern w:val="2"/>
          <w:position w:val="0"/>
          <w:sz w:val="24"/>
          <w:szCs w:val="24"/>
          <w:highlight w:val="none"/>
          <w:u w:val="none" w:color="000000"/>
          <w:shd w:val="clear" w:color="auto" w:fill="auto"/>
          <w:vertAlign w:val="baseline"/>
          <w:rtl w:val="0"/>
          <w:lang w:val="zh-TW" w:eastAsia="zh-CN" w:bidi="ar-SA"/>
        </w:rPr>
        <w:t>（一）“中国电信奖学金·天翼奖”（</w:t>
      </w:r>
      <w:r>
        <w:rPr>
          <w:rFonts w:hint="eastAsia" w:ascii="仿宋" w:hAnsi="仿宋" w:eastAsia="仿宋" w:cs="仿宋"/>
          <w:b w:val="0"/>
          <w:bCs/>
          <w:color w:val="auto"/>
          <w:spacing w:val="0"/>
          <w:w w:val="100"/>
          <w:kern w:val="2"/>
          <w:position w:val="0"/>
          <w:sz w:val="24"/>
          <w:szCs w:val="24"/>
          <w:highlight w:val="none"/>
          <w:u w:val="none" w:color="000000"/>
          <w:shd w:val="clear" w:color="auto" w:fill="auto"/>
          <w:vertAlign w:val="baseline"/>
          <w:rtl w:val="0"/>
          <w:lang w:val="en-US" w:eastAsia="zh-CN" w:bidi="ar-SA"/>
        </w:rPr>
        <w:t>5</w:t>
      </w:r>
      <w:r>
        <w:rPr>
          <w:rFonts w:hint="eastAsia" w:ascii="仿宋" w:hAnsi="仿宋" w:eastAsia="仿宋" w:cs="仿宋"/>
          <w:b w:val="0"/>
          <w:bCs/>
          <w:color w:val="auto"/>
          <w:spacing w:val="0"/>
          <w:w w:val="100"/>
          <w:kern w:val="2"/>
          <w:position w:val="0"/>
          <w:sz w:val="24"/>
          <w:szCs w:val="24"/>
          <w:highlight w:val="none"/>
          <w:u w:val="none" w:color="000000"/>
          <w:shd w:val="clear" w:color="auto" w:fill="auto"/>
          <w:vertAlign w:val="baseline"/>
          <w:rtl w:val="0"/>
          <w:lang w:val="zh-TW" w:eastAsia="zh-CN" w:bidi="ar-SA"/>
        </w:rPr>
        <w:t>名）</w:t>
      </w:r>
    </w:p>
    <w:p>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1．每名学生奖学金金额为人民币2万元；</w:t>
      </w:r>
    </w:p>
    <w:p>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2．中国电信集团为有意愿的获得奖学金学生优先安排岗位实习；</w:t>
      </w:r>
    </w:p>
    <w:p>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3．符合中国电信集团及所属单位招聘条件的，可予以直接录用。</w:t>
      </w:r>
    </w:p>
    <w:p>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b w:val="0"/>
          <w:bCs/>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仿宋" w:hAnsi="仿宋" w:eastAsia="仿宋" w:cs="仿宋"/>
          <w:b w:val="0"/>
          <w:bCs/>
          <w:color w:val="auto"/>
          <w:spacing w:val="0"/>
          <w:w w:val="100"/>
          <w:kern w:val="2"/>
          <w:position w:val="0"/>
          <w:sz w:val="24"/>
          <w:szCs w:val="24"/>
          <w:highlight w:val="none"/>
          <w:u w:val="none" w:color="000000"/>
          <w:shd w:val="clear" w:color="auto" w:fill="auto"/>
          <w:vertAlign w:val="baseline"/>
          <w:rtl w:val="0"/>
          <w:lang w:val="zh-TW" w:eastAsia="zh-CN" w:bidi="ar-SA"/>
        </w:rPr>
        <w:t>（二）“中国电信奖学金·飞Young奖”（</w:t>
      </w:r>
      <w:r>
        <w:rPr>
          <w:rFonts w:hint="eastAsia" w:ascii="仿宋" w:hAnsi="仿宋" w:eastAsia="仿宋" w:cs="仿宋"/>
          <w:b w:val="0"/>
          <w:bCs/>
          <w:color w:val="auto"/>
          <w:spacing w:val="0"/>
          <w:w w:val="100"/>
          <w:kern w:val="2"/>
          <w:position w:val="0"/>
          <w:sz w:val="24"/>
          <w:szCs w:val="24"/>
          <w:highlight w:val="none"/>
          <w:u w:val="none" w:color="000000"/>
          <w:shd w:val="clear" w:color="auto" w:fill="auto"/>
          <w:vertAlign w:val="baseline"/>
          <w:rtl w:val="0"/>
          <w:lang w:val="en-US" w:eastAsia="zh-CN" w:bidi="ar-SA"/>
        </w:rPr>
        <w:t>77</w:t>
      </w:r>
      <w:r>
        <w:rPr>
          <w:rFonts w:hint="eastAsia" w:ascii="仿宋" w:hAnsi="仿宋" w:eastAsia="仿宋" w:cs="仿宋"/>
          <w:b w:val="0"/>
          <w:bCs/>
          <w:color w:val="auto"/>
          <w:spacing w:val="0"/>
          <w:w w:val="100"/>
          <w:kern w:val="2"/>
          <w:position w:val="0"/>
          <w:sz w:val="24"/>
          <w:szCs w:val="24"/>
          <w:highlight w:val="none"/>
          <w:u w:val="none" w:color="000000"/>
          <w:shd w:val="clear" w:color="auto" w:fill="auto"/>
          <w:vertAlign w:val="baseline"/>
          <w:rtl w:val="0"/>
          <w:lang w:val="zh-TW" w:eastAsia="zh-CN" w:bidi="ar-SA"/>
        </w:rPr>
        <w:t>名）</w:t>
      </w:r>
    </w:p>
    <w:p>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 每名学生奖学金金额为人民币5000元；</w:t>
      </w:r>
    </w:p>
    <w:p>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 中国电信集团为有意愿的获得奖学金学生优先安排岗位实习；</w:t>
      </w:r>
    </w:p>
    <w:p>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 符合中国电信集团及所属单位招聘条件的，在同等条件下可优先录用。</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482" w:firstLineChars="200"/>
        <w:jc w:val="both"/>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推荐条件</w:t>
      </w:r>
    </w:p>
    <w:p>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b w:val="0"/>
          <w:bCs/>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仿宋" w:hAnsi="仿宋" w:eastAsia="仿宋" w:cs="仿宋"/>
          <w:b w:val="0"/>
          <w:bCs/>
          <w:color w:val="auto"/>
          <w:spacing w:val="0"/>
          <w:w w:val="100"/>
          <w:kern w:val="2"/>
          <w:position w:val="0"/>
          <w:sz w:val="24"/>
          <w:szCs w:val="24"/>
          <w:highlight w:val="none"/>
          <w:u w:val="none" w:color="000000"/>
          <w:shd w:val="clear" w:color="auto" w:fill="auto"/>
          <w:vertAlign w:val="baseline"/>
          <w:rtl w:val="0"/>
          <w:lang w:val="zh-TW" w:eastAsia="zh-CN" w:bidi="ar-SA"/>
        </w:rPr>
        <w:t>（一）“中国电信奖学金·飞Young奖”</w:t>
      </w:r>
    </w:p>
    <w:p>
      <w:pPr>
        <w:keepNext w:val="0"/>
        <w:keepLines w:val="0"/>
        <w:pageBreakBefore w:val="0"/>
        <w:tabs>
          <w:tab w:val="left" w:pos="940"/>
        </w:tabs>
        <w:kinsoku/>
        <w:wordWrap/>
        <w:overflowPunct/>
        <w:topLinePunct w:val="0"/>
        <w:autoSpaceDE/>
        <w:autoSpaceDN/>
        <w:bidi w:val="0"/>
        <w:adjustRightInd/>
        <w:snapToGrid/>
        <w:spacing w:line="540" w:lineRule="exact"/>
        <w:ind w:firstLine="470" w:firstLineChars="196"/>
        <w:textAlignment w:val="auto"/>
        <w:rPr>
          <w:rFonts w:hint="eastAsia" w:ascii="仿宋" w:hAnsi="仿宋" w:eastAsia="仿宋" w:cs="仿宋"/>
          <w:sz w:val="24"/>
          <w:szCs w:val="24"/>
        </w:rPr>
      </w:pPr>
      <w:r>
        <w:rPr>
          <w:rFonts w:hint="eastAsia" w:ascii="仿宋" w:hAnsi="仿宋" w:eastAsia="仿宋" w:cs="仿宋"/>
          <w:sz w:val="24"/>
          <w:szCs w:val="24"/>
        </w:rPr>
        <w:t>1. 热爱祖国，拥护中国共产党，具有良好的思想政治素质，须为中共党员或共青团员</w:t>
      </w:r>
      <w:r>
        <w:rPr>
          <w:rFonts w:hint="eastAsia" w:ascii="仿宋" w:hAnsi="仿宋" w:eastAsia="仿宋" w:cs="仿宋"/>
          <w:color w:val="000000" w:themeColor="text1"/>
          <w:sz w:val="24"/>
          <w:szCs w:val="24"/>
          <w14:textFill>
            <w14:solidFill>
              <w14:schemeClr w14:val="tx1"/>
            </w14:solidFill>
          </w14:textFill>
        </w:rPr>
        <w:t>，在青</w:t>
      </w:r>
      <w:r>
        <w:rPr>
          <w:rFonts w:hint="eastAsia" w:ascii="仿宋" w:hAnsi="仿宋" w:eastAsia="仿宋" w:cs="仿宋"/>
          <w:sz w:val="24"/>
          <w:szCs w:val="24"/>
        </w:rPr>
        <w:t>年学生中能够起到可亲、可敬、可信、可学的榜样作用；</w:t>
      </w:r>
    </w:p>
    <w:p>
      <w:pPr>
        <w:keepNext w:val="0"/>
        <w:keepLines w:val="0"/>
        <w:pageBreakBefore w:val="0"/>
        <w:tabs>
          <w:tab w:val="left" w:pos="940"/>
        </w:tabs>
        <w:kinsoku/>
        <w:wordWrap/>
        <w:overflowPunct/>
        <w:topLinePunct w:val="0"/>
        <w:autoSpaceDE/>
        <w:autoSpaceDN/>
        <w:bidi w:val="0"/>
        <w:adjustRightInd/>
        <w:snapToGrid/>
        <w:spacing w:line="540" w:lineRule="exact"/>
        <w:ind w:firstLine="470" w:firstLineChars="196"/>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b/>
          <w:bCs/>
          <w:sz w:val="24"/>
          <w:szCs w:val="24"/>
        </w:rPr>
        <w:t xml:space="preserve"> </w:t>
      </w:r>
      <w:r>
        <w:rPr>
          <w:rFonts w:hint="eastAsia" w:ascii="仿宋" w:hAnsi="仿宋" w:eastAsia="仿宋" w:cs="仿宋"/>
          <w:b w:val="0"/>
          <w:bCs w:val="0"/>
          <w:color w:val="C00000"/>
          <w:sz w:val="24"/>
          <w:szCs w:val="24"/>
        </w:rPr>
        <w:t>扎根基层建功立业，在科技创新、投身新冠肺炎疫情防控、服务全面建成小康社会、助力乡村振兴、参与社会治理创新、弘扬网上文明等方面有优秀事迹，“返家乡”先进典型、兼任乡村基层团干部的大学生、向社区（村）和“青年之家”报到的大学生、优秀志愿者等基层工作者以及参加过电信学子公司创业实践项目经历者</w:t>
      </w:r>
      <w:r>
        <w:rPr>
          <w:rFonts w:hint="eastAsia" w:ascii="仿宋" w:hAnsi="仿宋" w:eastAsia="仿宋" w:cs="仿宋"/>
          <w:b w:val="0"/>
          <w:bCs w:val="0"/>
          <w:color w:val="auto"/>
          <w:sz w:val="24"/>
          <w:szCs w:val="24"/>
          <w:highlight w:val="yellow"/>
        </w:rPr>
        <w:t>可</w:t>
      </w:r>
      <w:r>
        <w:rPr>
          <w:rFonts w:hint="eastAsia" w:ascii="仿宋" w:hAnsi="仿宋" w:eastAsia="仿宋" w:cs="仿宋"/>
          <w:b/>
          <w:bCs/>
          <w:color w:val="C00000"/>
          <w:sz w:val="24"/>
          <w:szCs w:val="24"/>
          <w:highlight w:val="yellow"/>
        </w:rPr>
        <w:t>优先</w:t>
      </w:r>
      <w:r>
        <w:rPr>
          <w:rFonts w:hint="eastAsia" w:ascii="仿宋" w:hAnsi="仿宋" w:eastAsia="仿宋" w:cs="仿宋"/>
          <w:b w:val="0"/>
          <w:bCs w:val="0"/>
          <w:color w:val="auto"/>
          <w:sz w:val="24"/>
          <w:szCs w:val="24"/>
          <w:highlight w:val="yellow"/>
        </w:rPr>
        <w:t>考虑</w:t>
      </w:r>
      <w:r>
        <w:rPr>
          <w:rFonts w:hint="eastAsia" w:ascii="仿宋" w:hAnsi="仿宋" w:eastAsia="仿宋" w:cs="仿宋"/>
          <w:sz w:val="24"/>
          <w:szCs w:val="24"/>
        </w:rPr>
        <w:t>；</w:t>
      </w:r>
    </w:p>
    <w:p>
      <w:pPr>
        <w:keepNext w:val="0"/>
        <w:keepLines w:val="0"/>
        <w:pageBreakBefore w:val="0"/>
        <w:tabs>
          <w:tab w:val="left" w:pos="940"/>
        </w:tabs>
        <w:kinsoku/>
        <w:wordWrap/>
        <w:overflowPunct/>
        <w:topLinePunct w:val="0"/>
        <w:autoSpaceDE/>
        <w:autoSpaceDN/>
        <w:bidi w:val="0"/>
        <w:adjustRightInd/>
        <w:snapToGrid/>
        <w:spacing w:line="540" w:lineRule="exact"/>
        <w:ind w:firstLine="470" w:firstLineChars="196"/>
        <w:textAlignment w:val="auto"/>
        <w:rPr>
          <w:rFonts w:hint="eastAsia" w:ascii="仿宋" w:hAnsi="仿宋" w:eastAsia="仿宋" w:cs="仿宋"/>
          <w:sz w:val="24"/>
          <w:szCs w:val="24"/>
          <w:highlight w:val="yellow"/>
        </w:rPr>
      </w:pPr>
      <w:r>
        <w:rPr>
          <w:rFonts w:hint="eastAsia" w:ascii="仿宋" w:hAnsi="仿宋" w:eastAsia="仿宋" w:cs="仿宋"/>
          <w:sz w:val="24"/>
          <w:szCs w:val="24"/>
        </w:rPr>
        <w:t xml:space="preserve">3. </w:t>
      </w:r>
      <w:r>
        <w:rPr>
          <w:rFonts w:hint="eastAsia" w:ascii="仿宋" w:hAnsi="仿宋" w:eastAsia="仿宋" w:cs="仿宋"/>
          <w:sz w:val="24"/>
          <w:szCs w:val="24"/>
          <w:highlight w:val="yellow"/>
        </w:rPr>
        <w:t>上学年学分绩点在本专业排名</w:t>
      </w:r>
      <w:r>
        <w:rPr>
          <w:rFonts w:hint="eastAsia" w:ascii="仿宋" w:hAnsi="仿宋" w:eastAsia="仿宋" w:cs="仿宋"/>
          <w:b/>
          <w:bCs/>
          <w:color w:val="C00000"/>
          <w:sz w:val="24"/>
          <w:szCs w:val="24"/>
          <w:highlight w:val="yellow"/>
        </w:rPr>
        <w:t>前30%</w:t>
      </w:r>
      <w:r>
        <w:rPr>
          <w:rFonts w:hint="eastAsia" w:ascii="仿宋" w:hAnsi="仿宋" w:eastAsia="仿宋" w:cs="仿宋"/>
          <w:sz w:val="24"/>
          <w:szCs w:val="24"/>
          <w:highlight w:val="yellow"/>
        </w:rPr>
        <w:t>，历次考试</w:t>
      </w:r>
      <w:r>
        <w:rPr>
          <w:rFonts w:hint="eastAsia" w:ascii="仿宋" w:hAnsi="仿宋" w:eastAsia="仿宋" w:cs="仿宋"/>
          <w:b/>
          <w:bCs/>
          <w:color w:val="C00000"/>
          <w:sz w:val="24"/>
          <w:szCs w:val="24"/>
          <w:highlight w:val="yellow"/>
        </w:rPr>
        <w:t>没有不及格科</w:t>
      </w:r>
      <w:r>
        <w:rPr>
          <w:rFonts w:hint="eastAsia" w:ascii="仿宋" w:hAnsi="仿宋" w:eastAsia="仿宋" w:cs="仿宋"/>
          <w:sz w:val="24"/>
          <w:szCs w:val="24"/>
          <w:highlight w:val="yellow"/>
        </w:rPr>
        <w:t>目。</w:t>
      </w:r>
    </w:p>
    <w:p>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b w:val="0"/>
          <w:bCs/>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仿宋" w:hAnsi="仿宋" w:eastAsia="仿宋" w:cs="仿宋"/>
          <w:b w:val="0"/>
          <w:bCs/>
          <w:color w:val="auto"/>
          <w:spacing w:val="0"/>
          <w:w w:val="100"/>
          <w:kern w:val="2"/>
          <w:position w:val="0"/>
          <w:sz w:val="24"/>
          <w:szCs w:val="24"/>
          <w:highlight w:val="none"/>
          <w:u w:val="none" w:color="000000"/>
          <w:shd w:val="clear" w:color="auto" w:fill="auto"/>
          <w:vertAlign w:val="baseline"/>
          <w:rtl w:val="0"/>
          <w:lang w:val="zh-TW" w:eastAsia="zh-CN" w:bidi="ar-SA"/>
        </w:rPr>
        <w:t>（二）“中国电信奖学金·天翼奖”</w:t>
      </w:r>
    </w:p>
    <w:p>
      <w:pPr>
        <w:keepNext w:val="0"/>
        <w:keepLines w:val="0"/>
        <w:pageBreakBefore w:val="0"/>
        <w:tabs>
          <w:tab w:val="left" w:pos="940"/>
        </w:tabs>
        <w:kinsoku/>
        <w:wordWrap/>
        <w:overflowPunct/>
        <w:topLinePunct w:val="0"/>
        <w:autoSpaceDE/>
        <w:autoSpaceDN/>
        <w:bidi w:val="0"/>
        <w:adjustRightInd/>
        <w:snapToGrid/>
        <w:spacing w:line="540" w:lineRule="exact"/>
        <w:ind w:firstLine="470" w:firstLineChars="196"/>
        <w:textAlignment w:val="auto"/>
        <w:rPr>
          <w:rFonts w:hint="eastAsia" w:ascii="仿宋" w:hAnsi="仿宋" w:eastAsia="仿宋" w:cs="仿宋"/>
          <w:sz w:val="24"/>
          <w:szCs w:val="24"/>
        </w:rPr>
      </w:pPr>
      <w:r>
        <w:rPr>
          <w:rFonts w:hint="eastAsia" w:ascii="仿宋" w:hAnsi="仿宋" w:eastAsia="仿宋" w:cs="仿宋"/>
          <w:sz w:val="24"/>
          <w:szCs w:val="24"/>
        </w:rPr>
        <w:t>按照阶梯激励原则，“中国电信奖学金·天翼奖”候选人原则上从近2年内获得过“中国电信奖学金·飞Young奖”的同学中产生，除满足“中国电信奖学金·飞Young奖”获奖基本条件以外，综合考虑学业成绩、社会实践、建功基层等方面的后续表现，</w:t>
      </w:r>
      <w:r>
        <w:rPr>
          <w:rFonts w:hint="eastAsia" w:ascii="仿宋" w:hAnsi="仿宋" w:eastAsia="仿宋" w:cs="仿宋"/>
          <w:b/>
          <w:bCs/>
          <w:color w:val="C00000"/>
          <w:sz w:val="24"/>
          <w:szCs w:val="24"/>
          <w:highlight w:val="yellow"/>
        </w:rPr>
        <w:t>必须有</w:t>
      </w:r>
      <w:r>
        <w:rPr>
          <w:rFonts w:hint="eastAsia" w:ascii="仿宋" w:hAnsi="仿宋" w:eastAsia="仿宋" w:cs="仿宋"/>
          <w:sz w:val="24"/>
          <w:szCs w:val="24"/>
          <w:highlight w:val="yellow"/>
        </w:rPr>
        <w:t>参与向社区（村）和“青年之家”报到、“三下乡”、“返家乡”等社会实践和志愿服务项目20小时以上的经历，并提供相应证明</w:t>
      </w:r>
      <w:r>
        <w:rPr>
          <w:rFonts w:hint="eastAsia" w:ascii="仿宋" w:hAnsi="仿宋" w:eastAsia="仿宋" w:cs="仿宋"/>
          <w:sz w:val="24"/>
          <w:szCs w:val="24"/>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480" w:firstLineChars="20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名额分配</w:t>
      </w:r>
    </w:p>
    <w:p>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b w:val="0"/>
          <w:bCs/>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仿宋" w:hAnsi="仿宋" w:eastAsia="仿宋" w:cs="仿宋"/>
          <w:b w:val="0"/>
          <w:bCs/>
          <w:color w:val="auto"/>
          <w:spacing w:val="0"/>
          <w:w w:val="100"/>
          <w:kern w:val="2"/>
          <w:position w:val="0"/>
          <w:sz w:val="24"/>
          <w:szCs w:val="24"/>
          <w:highlight w:val="none"/>
          <w:u w:val="none" w:color="000000"/>
          <w:shd w:val="clear" w:color="auto" w:fill="auto"/>
          <w:vertAlign w:val="baseline"/>
          <w:rtl w:val="0"/>
          <w:lang w:val="zh-TW" w:eastAsia="zh-CN" w:bidi="ar-SA"/>
        </w:rPr>
        <w:t>（一）“中国电信奖学金·飞Young奖”</w:t>
      </w:r>
    </w:p>
    <w:p>
      <w:pPr>
        <w:keepNext w:val="0"/>
        <w:keepLines w:val="0"/>
        <w:pageBreakBefore w:val="0"/>
        <w:tabs>
          <w:tab w:val="left" w:pos="940"/>
        </w:tabs>
        <w:kinsoku/>
        <w:wordWrap/>
        <w:overflowPunct/>
        <w:topLinePunct w:val="0"/>
        <w:autoSpaceDE/>
        <w:autoSpaceDN/>
        <w:bidi w:val="0"/>
        <w:adjustRightInd/>
        <w:snapToGrid/>
        <w:spacing w:line="540" w:lineRule="exact"/>
        <w:ind w:firstLine="470" w:firstLineChars="196"/>
        <w:textAlignment w:val="auto"/>
        <w:rPr>
          <w:rFonts w:hint="eastAsia" w:ascii="仿宋" w:hAnsi="仿宋" w:eastAsia="仿宋" w:cs="仿宋"/>
          <w:sz w:val="24"/>
          <w:szCs w:val="24"/>
        </w:rPr>
      </w:pPr>
      <w:r>
        <w:rPr>
          <w:rFonts w:hint="eastAsia" w:ascii="仿宋" w:hAnsi="仿宋" w:eastAsia="仿宋" w:cs="仿宋"/>
          <w:sz w:val="24"/>
          <w:szCs w:val="24"/>
        </w:rPr>
        <w:t>1. 通过各高校团委推荐</w:t>
      </w:r>
      <w:r>
        <w:rPr>
          <w:rFonts w:hint="eastAsia" w:ascii="仿宋" w:hAnsi="仿宋" w:eastAsia="仿宋" w:cs="仿宋"/>
          <w:sz w:val="24"/>
          <w:szCs w:val="24"/>
          <w:lang w:val="en-US" w:eastAsia="zh-CN"/>
        </w:rPr>
        <w:t>47</w:t>
      </w:r>
      <w:r>
        <w:rPr>
          <w:rFonts w:hint="eastAsia" w:ascii="仿宋" w:hAnsi="仿宋" w:eastAsia="仿宋" w:cs="仿宋"/>
          <w:sz w:val="24"/>
          <w:szCs w:val="24"/>
        </w:rPr>
        <w:t>名；</w:t>
      </w:r>
    </w:p>
    <w:p>
      <w:pPr>
        <w:keepNext w:val="0"/>
        <w:keepLines w:val="0"/>
        <w:pageBreakBefore w:val="0"/>
        <w:tabs>
          <w:tab w:val="left" w:pos="940"/>
        </w:tabs>
        <w:kinsoku/>
        <w:wordWrap/>
        <w:overflowPunct/>
        <w:topLinePunct w:val="0"/>
        <w:autoSpaceDE/>
        <w:autoSpaceDN/>
        <w:bidi w:val="0"/>
        <w:adjustRightInd/>
        <w:snapToGrid/>
        <w:spacing w:line="540" w:lineRule="exact"/>
        <w:ind w:firstLine="470" w:firstLineChars="196"/>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 由</w:t>
      </w:r>
      <w:r>
        <w:rPr>
          <w:rFonts w:hint="eastAsia" w:ascii="仿宋" w:hAnsi="仿宋" w:eastAsia="仿宋" w:cs="仿宋"/>
          <w:sz w:val="24"/>
          <w:szCs w:val="24"/>
        </w:rPr>
        <w:t>团</w:t>
      </w:r>
      <w:r>
        <w:rPr>
          <w:rFonts w:hint="eastAsia" w:ascii="仿宋" w:hAnsi="仿宋" w:eastAsia="仿宋" w:cs="仿宋"/>
          <w:sz w:val="24"/>
          <w:szCs w:val="24"/>
          <w:lang w:val="en-US" w:eastAsia="zh-CN"/>
        </w:rPr>
        <w:t>广东省</w:t>
      </w:r>
      <w:r>
        <w:rPr>
          <w:rFonts w:hint="eastAsia" w:ascii="仿宋" w:hAnsi="仿宋" w:eastAsia="仿宋" w:cs="仿宋"/>
          <w:sz w:val="24"/>
          <w:szCs w:val="24"/>
        </w:rPr>
        <w:t>委</w:t>
      </w:r>
      <w:r>
        <w:rPr>
          <w:rFonts w:hint="eastAsia" w:ascii="仿宋" w:hAnsi="仿宋" w:eastAsia="仿宋" w:cs="仿宋"/>
          <w:sz w:val="24"/>
          <w:szCs w:val="24"/>
          <w:highlight w:val="none"/>
        </w:rPr>
        <w:t>统筹在县域共青团基层组织改革试点地区中推荐</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名，重点推荐常态化到“青年之家”开展服务的学生</w:t>
      </w:r>
      <w:r>
        <w:rPr>
          <w:rFonts w:hint="eastAsia" w:ascii="仿宋" w:hAnsi="仿宋" w:eastAsia="仿宋" w:cs="仿宋"/>
          <w:sz w:val="24"/>
          <w:szCs w:val="24"/>
          <w:highlight w:val="none"/>
          <w:lang w:eastAsia="zh-CN"/>
        </w:rPr>
        <w:t>。</w:t>
      </w:r>
    </w:p>
    <w:p>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b w:val="0"/>
          <w:bCs/>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仿宋" w:hAnsi="仿宋" w:eastAsia="仿宋" w:cs="仿宋"/>
          <w:b w:val="0"/>
          <w:bCs/>
          <w:color w:val="auto"/>
          <w:spacing w:val="0"/>
          <w:w w:val="100"/>
          <w:kern w:val="2"/>
          <w:position w:val="0"/>
          <w:sz w:val="24"/>
          <w:szCs w:val="24"/>
          <w:highlight w:val="none"/>
          <w:u w:val="none" w:color="000000"/>
          <w:shd w:val="clear" w:color="auto" w:fill="auto"/>
          <w:vertAlign w:val="baseline"/>
          <w:rtl w:val="0"/>
          <w:lang w:val="zh-TW" w:eastAsia="zh-CN" w:bidi="ar-SA"/>
        </w:rPr>
        <w:t>（二）“中国电信奖学金·天翼奖”</w:t>
      </w:r>
    </w:p>
    <w:p>
      <w:pPr>
        <w:keepNext w:val="0"/>
        <w:keepLines w:val="0"/>
        <w:pageBreakBefore w:val="0"/>
        <w:tabs>
          <w:tab w:val="left" w:pos="940"/>
        </w:tabs>
        <w:kinsoku/>
        <w:wordWrap/>
        <w:overflowPunct/>
        <w:topLinePunct w:val="0"/>
        <w:autoSpaceDE/>
        <w:autoSpaceDN/>
        <w:bidi w:val="0"/>
        <w:adjustRightInd/>
        <w:snapToGrid/>
        <w:spacing w:line="540" w:lineRule="exact"/>
        <w:ind w:firstLine="470" w:firstLineChars="196"/>
        <w:textAlignment w:val="auto"/>
        <w:rPr>
          <w:rFonts w:hint="eastAsia" w:ascii="仿宋" w:hAnsi="仿宋" w:eastAsia="仿宋" w:cs="仿宋"/>
          <w:sz w:val="24"/>
          <w:szCs w:val="24"/>
        </w:rPr>
      </w:pPr>
      <w:r>
        <w:rPr>
          <w:rFonts w:hint="eastAsia" w:ascii="仿宋" w:hAnsi="仿宋" w:eastAsia="仿宋" w:cs="仿宋"/>
          <w:sz w:val="24"/>
          <w:szCs w:val="24"/>
        </w:rPr>
        <w:t>由团</w:t>
      </w:r>
      <w:r>
        <w:rPr>
          <w:rFonts w:hint="eastAsia" w:ascii="仿宋" w:hAnsi="仿宋" w:eastAsia="仿宋" w:cs="仿宋"/>
          <w:sz w:val="24"/>
          <w:szCs w:val="24"/>
          <w:lang w:val="en-US" w:eastAsia="zh-CN"/>
        </w:rPr>
        <w:t>广东省</w:t>
      </w:r>
      <w:r>
        <w:rPr>
          <w:rFonts w:hint="eastAsia" w:ascii="仿宋" w:hAnsi="仿宋" w:eastAsia="仿宋" w:cs="仿宋"/>
          <w:sz w:val="24"/>
          <w:szCs w:val="24"/>
        </w:rPr>
        <w:t>委统筹推荐</w:t>
      </w:r>
      <w:r>
        <w:rPr>
          <w:rFonts w:hint="eastAsia" w:ascii="仿宋" w:hAnsi="仿宋" w:eastAsia="仿宋" w:cs="仿宋"/>
          <w:sz w:val="24"/>
          <w:szCs w:val="24"/>
          <w:lang w:val="en-US" w:eastAsia="zh-CN"/>
        </w:rPr>
        <w:t>5名</w:t>
      </w:r>
      <w:r>
        <w:rPr>
          <w:rFonts w:hint="eastAsia" w:ascii="仿宋" w:hAnsi="仿宋" w:eastAsia="仿宋" w:cs="仿宋"/>
          <w:sz w:val="24"/>
          <w:szCs w:val="24"/>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480" w:firstLineChars="20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工作安排</w:t>
      </w:r>
    </w:p>
    <w:p>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评选工作分全国、省级、校级（地市级）三个层面实施。</w:t>
      </w:r>
    </w:p>
    <w:p>
      <w:pPr>
        <w:numPr>
          <w:ilvl w:val="0"/>
          <w:numId w:val="5"/>
        </w:numPr>
        <w:spacing w:line="56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color w:val="auto"/>
          <w:spacing w:val="0"/>
          <w:w w:val="100"/>
          <w:kern w:val="2"/>
          <w:position w:val="0"/>
          <w:sz w:val="24"/>
          <w:szCs w:val="24"/>
          <w:highlight w:val="none"/>
          <w:u w:val="none" w:color="000000"/>
          <w:shd w:val="clear" w:color="auto" w:fill="auto"/>
          <w:vertAlign w:val="baseline"/>
          <w:rtl w:val="0"/>
          <w:lang w:val="zh-TW" w:eastAsia="zh-CN" w:bidi="ar-SA"/>
        </w:rPr>
        <w:t>校级（市级）推荐（2021年9月5日前）</w:t>
      </w:r>
    </w:p>
    <w:p>
      <w:pPr>
        <w:numPr>
          <w:ilvl w:val="0"/>
          <w:numId w:val="0"/>
        </w:numPr>
        <w:spacing w:line="560" w:lineRule="exact"/>
        <w:ind w:firstLine="480" w:firstLineChars="200"/>
        <w:rPr>
          <w:rFonts w:hint="eastAsia" w:ascii="仿宋" w:hAnsi="仿宋" w:eastAsia="仿宋" w:cs="仿宋"/>
          <w:b w:val="0"/>
          <w:bCs w:val="0"/>
          <w:color w:val="C00000"/>
          <w:sz w:val="24"/>
          <w:szCs w:val="24"/>
          <w:highlight w:val="none"/>
        </w:rPr>
      </w:pPr>
      <w:r>
        <w:rPr>
          <w:rFonts w:hint="eastAsia" w:ascii="仿宋" w:hAnsi="仿宋" w:eastAsia="仿宋" w:cs="仿宋"/>
          <w:sz w:val="24"/>
          <w:szCs w:val="24"/>
        </w:rPr>
        <w:t>校级评委会由校领导主持，由学校团委、相关部门负责人及属地电信公司相关负责人联合组成，负责本校奖学金候选人的资格审查、初评和推荐工作。</w:t>
      </w:r>
      <w:r>
        <w:rPr>
          <w:rFonts w:hint="eastAsia" w:ascii="仿宋" w:hAnsi="仿宋" w:eastAsia="仿宋" w:cs="仿宋"/>
          <w:b w:val="0"/>
          <w:bCs w:val="0"/>
          <w:color w:val="C00000"/>
          <w:sz w:val="24"/>
          <w:szCs w:val="24"/>
        </w:rPr>
        <w:t>每校推荐不超过2名候选</w:t>
      </w:r>
      <w:r>
        <w:rPr>
          <w:rFonts w:hint="eastAsia" w:ascii="仿宋" w:hAnsi="仿宋" w:eastAsia="仿宋" w:cs="仿宋"/>
          <w:b w:val="0"/>
          <w:bCs w:val="0"/>
          <w:color w:val="C00000"/>
          <w:sz w:val="24"/>
          <w:szCs w:val="24"/>
          <w:highlight w:val="none"/>
        </w:rPr>
        <w:t>人至省级评委会。</w:t>
      </w:r>
    </w:p>
    <w:p>
      <w:pPr>
        <w:numPr>
          <w:ilvl w:val="0"/>
          <w:numId w:val="5"/>
        </w:numPr>
        <w:spacing w:line="560" w:lineRule="exact"/>
        <w:ind w:left="0" w:leftChars="0" w:firstLine="480" w:firstLineChars="200"/>
        <w:rPr>
          <w:rFonts w:hint="eastAsia" w:ascii="仿宋" w:hAnsi="仿宋" w:eastAsia="仿宋" w:cs="仿宋"/>
          <w:b w:val="0"/>
          <w:bCs/>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仿宋" w:hAnsi="仿宋" w:eastAsia="仿宋" w:cs="仿宋"/>
          <w:b w:val="0"/>
          <w:bCs/>
          <w:color w:val="auto"/>
          <w:spacing w:val="0"/>
          <w:w w:val="100"/>
          <w:kern w:val="2"/>
          <w:position w:val="0"/>
          <w:sz w:val="24"/>
          <w:szCs w:val="24"/>
          <w:highlight w:val="none"/>
          <w:u w:val="none" w:color="000000"/>
          <w:shd w:val="clear" w:color="auto" w:fill="auto"/>
          <w:vertAlign w:val="baseline"/>
          <w:rtl w:val="0"/>
          <w:lang w:val="zh-TW" w:eastAsia="zh-CN" w:bidi="ar-SA"/>
        </w:rPr>
        <w:t>省级推荐（2021年9月</w:t>
      </w:r>
      <w:r>
        <w:rPr>
          <w:rFonts w:hint="eastAsia" w:ascii="仿宋" w:hAnsi="仿宋" w:eastAsia="仿宋" w:cs="仿宋"/>
          <w:b w:val="0"/>
          <w:bCs/>
          <w:color w:val="auto"/>
          <w:spacing w:val="0"/>
          <w:w w:val="100"/>
          <w:kern w:val="2"/>
          <w:position w:val="0"/>
          <w:sz w:val="24"/>
          <w:szCs w:val="24"/>
          <w:highlight w:val="none"/>
          <w:u w:val="none" w:color="000000"/>
          <w:shd w:val="clear" w:color="auto" w:fill="auto"/>
          <w:vertAlign w:val="baseline"/>
          <w:rtl w:val="0"/>
          <w:lang w:val="en-US" w:eastAsia="zh-CN" w:bidi="ar-SA"/>
        </w:rPr>
        <w:t>15</w:t>
      </w:r>
      <w:r>
        <w:rPr>
          <w:rFonts w:hint="eastAsia" w:ascii="仿宋" w:hAnsi="仿宋" w:eastAsia="仿宋" w:cs="仿宋"/>
          <w:b w:val="0"/>
          <w:bCs/>
          <w:color w:val="auto"/>
          <w:spacing w:val="0"/>
          <w:w w:val="100"/>
          <w:kern w:val="2"/>
          <w:position w:val="0"/>
          <w:sz w:val="24"/>
          <w:szCs w:val="24"/>
          <w:highlight w:val="none"/>
          <w:u w:val="none" w:color="000000"/>
          <w:shd w:val="clear" w:color="auto" w:fill="auto"/>
          <w:vertAlign w:val="baseline"/>
          <w:rtl w:val="0"/>
          <w:lang w:val="zh-TW" w:eastAsia="zh-CN" w:bidi="ar-SA"/>
        </w:rPr>
        <w:t>日前）</w:t>
      </w:r>
    </w:p>
    <w:p>
      <w:pPr>
        <w:spacing w:line="560" w:lineRule="exact"/>
        <w:ind w:firstLine="480" w:firstLineChars="200"/>
        <w:rPr>
          <w:rFonts w:eastAsia="方正仿宋简体" w:cs="仿宋"/>
          <w:bCs/>
          <w:color w:val="000000" w:themeColor="text1"/>
          <w:sz w:val="24"/>
          <w:szCs w:val="24"/>
          <w14:textFill>
            <w14:solidFill>
              <w14:schemeClr w14:val="tx1"/>
            </w14:solidFill>
          </w14:textFill>
        </w:rPr>
      </w:pPr>
      <w:r>
        <w:rPr>
          <w:rFonts w:hint="eastAsia" w:ascii="仿宋" w:hAnsi="仿宋" w:eastAsia="仿宋" w:cs="仿宋"/>
          <w:b w:val="0"/>
          <w:bCs/>
          <w:color w:val="auto"/>
          <w:spacing w:val="0"/>
          <w:w w:val="100"/>
          <w:kern w:val="2"/>
          <w:position w:val="0"/>
          <w:sz w:val="24"/>
          <w:szCs w:val="24"/>
          <w:highlight w:val="none"/>
          <w:u w:val="none" w:color="000000"/>
          <w:shd w:val="clear" w:color="auto" w:fill="auto"/>
          <w:vertAlign w:val="baseline"/>
          <w:rtl w:val="0"/>
          <w:lang w:val="zh-TW" w:eastAsia="zh-CN" w:bidi="ar-SA"/>
        </w:rPr>
        <w:t>3. 全国评审（2021年10月）</w:t>
      </w:r>
    </w:p>
    <w:sectPr>
      <w:footerReference r:id="rId3" w:type="default"/>
      <w:pgSz w:w="11906" w:h="16838"/>
      <w:pgMar w:top="2041" w:right="1531" w:bottom="2041" w:left="1531"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2471332"/>
      <w:docPartObj>
        <w:docPartGallery w:val="autotext"/>
      </w:docPartObj>
    </w:sdtPr>
    <w:sdtEndPr>
      <w:rPr>
        <w:rFonts w:asciiTheme="minorEastAsia" w:hAnsiTheme="minorEastAsia" w:eastAsiaTheme="minorEastAsia"/>
        <w:sz w:val="28"/>
      </w:rPr>
    </w:sdtEndPr>
    <w:sdtContent>
      <w:p>
        <w:pPr>
          <w:pStyle w:val="5"/>
          <w:jc w:val="center"/>
          <w:rPr>
            <w:rFonts w:asciiTheme="minorEastAsia" w:hAnsiTheme="minorEastAsia" w:eastAsiaTheme="minorEastAsia"/>
            <w:sz w:val="28"/>
          </w:rPr>
        </w:pPr>
        <w:r>
          <w:rPr>
            <w:rFonts w:asciiTheme="minorEastAsia" w:hAnsiTheme="minorEastAsia" w:eastAsiaTheme="minorEastAsia"/>
            <w:sz w:val="28"/>
          </w:rPr>
          <w:fldChar w:fldCharType="begin"/>
        </w:r>
        <w:r>
          <w:rPr>
            <w:rFonts w:asciiTheme="minorEastAsia" w:hAnsiTheme="minorEastAsia" w:eastAsiaTheme="minorEastAsia"/>
            <w:sz w:val="28"/>
          </w:rPr>
          <w:instrText xml:space="preserve">PAGE   \* MERGEFORMAT</w:instrText>
        </w:r>
        <w:r>
          <w:rPr>
            <w:rFonts w:asciiTheme="minorEastAsia" w:hAnsiTheme="minorEastAsia" w:eastAsiaTheme="minorEastAsia"/>
            <w:sz w:val="28"/>
          </w:rPr>
          <w:fldChar w:fldCharType="separate"/>
        </w:r>
        <w:r>
          <w:rPr>
            <w:rFonts w:asciiTheme="minorEastAsia" w:hAnsiTheme="minorEastAsia" w:eastAsiaTheme="minorEastAsia"/>
            <w:sz w:val="28"/>
            <w:lang w:val="zh-CN"/>
          </w:rPr>
          <w:t>-</w:t>
        </w:r>
        <w:r>
          <w:rPr>
            <w:rFonts w:asciiTheme="minorEastAsia" w:hAnsiTheme="minorEastAsia" w:eastAsiaTheme="minorEastAsia"/>
            <w:sz w:val="28"/>
          </w:rPr>
          <w:t xml:space="preserve"> 9 -</w:t>
        </w:r>
        <w:r>
          <w:rPr>
            <w:rFonts w:asciiTheme="minorEastAsia" w:hAnsiTheme="minorEastAsia" w:eastAsiaTheme="minorEastAsia"/>
            <w:sz w:val="28"/>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01C534"/>
    <w:multiLevelType w:val="singleLevel"/>
    <w:tmpl w:val="9D01C534"/>
    <w:lvl w:ilvl="0" w:tentative="0">
      <w:start w:val="1"/>
      <w:numFmt w:val="decimal"/>
      <w:lvlText w:val="%1."/>
      <w:lvlJc w:val="left"/>
      <w:pPr>
        <w:tabs>
          <w:tab w:val="left" w:pos="312"/>
        </w:tabs>
      </w:pPr>
    </w:lvl>
  </w:abstractNum>
  <w:abstractNum w:abstractNumId="1">
    <w:nsid w:val="DF3CFE42"/>
    <w:multiLevelType w:val="singleLevel"/>
    <w:tmpl w:val="DF3CFE42"/>
    <w:lvl w:ilvl="0" w:tentative="0">
      <w:start w:val="1"/>
      <w:numFmt w:val="decimal"/>
      <w:suff w:val="space"/>
      <w:lvlText w:val="%1."/>
      <w:lvlJc w:val="left"/>
    </w:lvl>
  </w:abstractNum>
  <w:abstractNum w:abstractNumId="2">
    <w:nsid w:val="F2A3390C"/>
    <w:multiLevelType w:val="singleLevel"/>
    <w:tmpl w:val="F2A3390C"/>
    <w:lvl w:ilvl="0" w:tentative="0">
      <w:start w:val="1"/>
      <w:numFmt w:val="decimalEnclosedCircleChinese"/>
      <w:suff w:val="nothing"/>
      <w:lvlText w:val="%1　"/>
      <w:lvlJc w:val="left"/>
      <w:pPr>
        <w:ind w:left="0" w:firstLine="400"/>
      </w:pPr>
      <w:rPr>
        <w:rFonts w:hint="eastAsia"/>
      </w:rPr>
    </w:lvl>
  </w:abstractNum>
  <w:abstractNum w:abstractNumId="3">
    <w:nsid w:val="F57F444C"/>
    <w:multiLevelType w:val="singleLevel"/>
    <w:tmpl w:val="F57F444C"/>
    <w:lvl w:ilvl="0" w:tentative="0">
      <w:start w:val="1"/>
      <w:numFmt w:val="decimalEnclosedCircleChinese"/>
      <w:suff w:val="nothing"/>
      <w:lvlText w:val="%1　"/>
      <w:lvlJc w:val="left"/>
      <w:pPr>
        <w:ind w:left="0" w:firstLine="400"/>
      </w:pPr>
      <w:rPr>
        <w:rFonts w:hint="eastAsia"/>
      </w:rPr>
    </w:lvl>
  </w:abstractNum>
  <w:abstractNum w:abstractNumId="4">
    <w:nsid w:val="30376573"/>
    <w:multiLevelType w:val="singleLevel"/>
    <w:tmpl w:val="30376573"/>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387ED9"/>
    <w:rsid w:val="000136EE"/>
    <w:rsid w:val="00017007"/>
    <w:rsid w:val="00020B92"/>
    <w:rsid w:val="0002140C"/>
    <w:rsid w:val="00026CC7"/>
    <w:rsid w:val="00055419"/>
    <w:rsid w:val="00066896"/>
    <w:rsid w:val="000719DF"/>
    <w:rsid w:val="0007687B"/>
    <w:rsid w:val="0008606A"/>
    <w:rsid w:val="000952B0"/>
    <w:rsid w:val="00097D22"/>
    <w:rsid w:val="000B058B"/>
    <w:rsid w:val="000B36CB"/>
    <w:rsid w:val="000C1AD7"/>
    <w:rsid w:val="000C4DAC"/>
    <w:rsid w:val="000C7336"/>
    <w:rsid w:val="000D5D59"/>
    <w:rsid w:val="000F2720"/>
    <w:rsid w:val="000F3EB6"/>
    <w:rsid w:val="00106233"/>
    <w:rsid w:val="00121194"/>
    <w:rsid w:val="001226AE"/>
    <w:rsid w:val="0014151C"/>
    <w:rsid w:val="0014774E"/>
    <w:rsid w:val="00150734"/>
    <w:rsid w:val="00153C13"/>
    <w:rsid w:val="00154D62"/>
    <w:rsid w:val="001567EA"/>
    <w:rsid w:val="00156E35"/>
    <w:rsid w:val="001576B7"/>
    <w:rsid w:val="0016542C"/>
    <w:rsid w:val="0016716C"/>
    <w:rsid w:val="001724CF"/>
    <w:rsid w:val="00175C5C"/>
    <w:rsid w:val="00184E9E"/>
    <w:rsid w:val="0019346D"/>
    <w:rsid w:val="00193C45"/>
    <w:rsid w:val="001A040E"/>
    <w:rsid w:val="001A0C5D"/>
    <w:rsid w:val="001A2F44"/>
    <w:rsid w:val="001C2225"/>
    <w:rsid w:val="001C3941"/>
    <w:rsid w:val="001C3E45"/>
    <w:rsid w:val="001C472F"/>
    <w:rsid w:val="001D3746"/>
    <w:rsid w:val="001F520F"/>
    <w:rsid w:val="002007DA"/>
    <w:rsid w:val="0021425D"/>
    <w:rsid w:val="00220D24"/>
    <w:rsid w:val="00224E35"/>
    <w:rsid w:val="0022659D"/>
    <w:rsid w:val="00233A1C"/>
    <w:rsid w:val="00244CCD"/>
    <w:rsid w:val="00244F33"/>
    <w:rsid w:val="00245290"/>
    <w:rsid w:val="00251B7E"/>
    <w:rsid w:val="00261B62"/>
    <w:rsid w:val="002647D9"/>
    <w:rsid w:val="0027457D"/>
    <w:rsid w:val="00295B73"/>
    <w:rsid w:val="0029670B"/>
    <w:rsid w:val="002A143E"/>
    <w:rsid w:val="002A184F"/>
    <w:rsid w:val="002B03A3"/>
    <w:rsid w:val="002B69AF"/>
    <w:rsid w:val="002C3C87"/>
    <w:rsid w:val="002C5261"/>
    <w:rsid w:val="002D21B7"/>
    <w:rsid w:val="002E4EC6"/>
    <w:rsid w:val="002E7702"/>
    <w:rsid w:val="002F4C52"/>
    <w:rsid w:val="002F78B8"/>
    <w:rsid w:val="00326491"/>
    <w:rsid w:val="00327109"/>
    <w:rsid w:val="00330421"/>
    <w:rsid w:val="00331F28"/>
    <w:rsid w:val="003661C4"/>
    <w:rsid w:val="003861FB"/>
    <w:rsid w:val="00386C7A"/>
    <w:rsid w:val="003900D4"/>
    <w:rsid w:val="00390156"/>
    <w:rsid w:val="00391961"/>
    <w:rsid w:val="00395FC5"/>
    <w:rsid w:val="003A383E"/>
    <w:rsid w:val="003A5944"/>
    <w:rsid w:val="003B7AF6"/>
    <w:rsid w:val="003C0F45"/>
    <w:rsid w:val="003D1F1E"/>
    <w:rsid w:val="003E75C2"/>
    <w:rsid w:val="003F3CC9"/>
    <w:rsid w:val="003F4F14"/>
    <w:rsid w:val="004017BD"/>
    <w:rsid w:val="00410BAE"/>
    <w:rsid w:val="0045302E"/>
    <w:rsid w:val="00466F2E"/>
    <w:rsid w:val="004678C8"/>
    <w:rsid w:val="00472B5B"/>
    <w:rsid w:val="00475135"/>
    <w:rsid w:val="00475FCD"/>
    <w:rsid w:val="0048003B"/>
    <w:rsid w:val="004838BD"/>
    <w:rsid w:val="004A0B65"/>
    <w:rsid w:val="004A0EE5"/>
    <w:rsid w:val="004A3A09"/>
    <w:rsid w:val="004C58B8"/>
    <w:rsid w:val="004D48E1"/>
    <w:rsid w:val="004F4D64"/>
    <w:rsid w:val="0051481F"/>
    <w:rsid w:val="0052176C"/>
    <w:rsid w:val="00527971"/>
    <w:rsid w:val="00554007"/>
    <w:rsid w:val="005575B8"/>
    <w:rsid w:val="005672E3"/>
    <w:rsid w:val="00576708"/>
    <w:rsid w:val="00585F00"/>
    <w:rsid w:val="00596893"/>
    <w:rsid w:val="005A4E37"/>
    <w:rsid w:val="005B13BE"/>
    <w:rsid w:val="005B5DE4"/>
    <w:rsid w:val="005D0BE2"/>
    <w:rsid w:val="005D12B2"/>
    <w:rsid w:val="005D618F"/>
    <w:rsid w:val="00611EE9"/>
    <w:rsid w:val="0061464A"/>
    <w:rsid w:val="006259B7"/>
    <w:rsid w:val="00627A75"/>
    <w:rsid w:val="00630660"/>
    <w:rsid w:val="006308B2"/>
    <w:rsid w:val="00632ADC"/>
    <w:rsid w:val="00635C7B"/>
    <w:rsid w:val="006368FE"/>
    <w:rsid w:val="00641C00"/>
    <w:rsid w:val="006871B9"/>
    <w:rsid w:val="006A4CB8"/>
    <w:rsid w:val="006A7406"/>
    <w:rsid w:val="006C5707"/>
    <w:rsid w:val="006E3788"/>
    <w:rsid w:val="006E41E2"/>
    <w:rsid w:val="006E565B"/>
    <w:rsid w:val="006E6B4F"/>
    <w:rsid w:val="00702F64"/>
    <w:rsid w:val="00703F88"/>
    <w:rsid w:val="00732690"/>
    <w:rsid w:val="0074514A"/>
    <w:rsid w:val="0074520F"/>
    <w:rsid w:val="00745AD9"/>
    <w:rsid w:val="007574A3"/>
    <w:rsid w:val="0078292A"/>
    <w:rsid w:val="007852BF"/>
    <w:rsid w:val="00787E96"/>
    <w:rsid w:val="00794899"/>
    <w:rsid w:val="007A5994"/>
    <w:rsid w:val="007A600E"/>
    <w:rsid w:val="007B0128"/>
    <w:rsid w:val="007B27AB"/>
    <w:rsid w:val="007B3530"/>
    <w:rsid w:val="007C6B7A"/>
    <w:rsid w:val="007C6DC7"/>
    <w:rsid w:val="007E60FA"/>
    <w:rsid w:val="007F087D"/>
    <w:rsid w:val="0080763C"/>
    <w:rsid w:val="00816183"/>
    <w:rsid w:val="00826B74"/>
    <w:rsid w:val="0084550C"/>
    <w:rsid w:val="00852D06"/>
    <w:rsid w:val="0086691C"/>
    <w:rsid w:val="00871B46"/>
    <w:rsid w:val="00872D4C"/>
    <w:rsid w:val="0087301E"/>
    <w:rsid w:val="00874980"/>
    <w:rsid w:val="00880D3E"/>
    <w:rsid w:val="00881F69"/>
    <w:rsid w:val="00884FF3"/>
    <w:rsid w:val="008867EA"/>
    <w:rsid w:val="00890A18"/>
    <w:rsid w:val="008A37EC"/>
    <w:rsid w:val="008A5B14"/>
    <w:rsid w:val="008A6EEE"/>
    <w:rsid w:val="008B678C"/>
    <w:rsid w:val="008C60A0"/>
    <w:rsid w:val="008C67B1"/>
    <w:rsid w:val="008D35FB"/>
    <w:rsid w:val="008F7882"/>
    <w:rsid w:val="0090136A"/>
    <w:rsid w:val="00902549"/>
    <w:rsid w:val="00941EED"/>
    <w:rsid w:val="0094301E"/>
    <w:rsid w:val="0095195E"/>
    <w:rsid w:val="00955D1A"/>
    <w:rsid w:val="009643D3"/>
    <w:rsid w:val="009659CE"/>
    <w:rsid w:val="00974F96"/>
    <w:rsid w:val="00986EAD"/>
    <w:rsid w:val="0099015F"/>
    <w:rsid w:val="0099429C"/>
    <w:rsid w:val="009A556A"/>
    <w:rsid w:val="009B0C1A"/>
    <w:rsid w:val="009D2531"/>
    <w:rsid w:val="009D4794"/>
    <w:rsid w:val="009D5687"/>
    <w:rsid w:val="009F2BC2"/>
    <w:rsid w:val="009F3B38"/>
    <w:rsid w:val="009F67B5"/>
    <w:rsid w:val="009F7E26"/>
    <w:rsid w:val="00A036AB"/>
    <w:rsid w:val="00A22FC4"/>
    <w:rsid w:val="00A243FE"/>
    <w:rsid w:val="00A359FF"/>
    <w:rsid w:val="00A3760F"/>
    <w:rsid w:val="00A45C04"/>
    <w:rsid w:val="00A4626C"/>
    <w:rsid w:val="00A46E8C"/>
    <w:rsid w:val="00A63F2F"/>
    <w:rsid w:val="00A715FA"/>
    <w:rsid w:val="00A84EE8"/>
    <w:rsid w:val="00A8559F"/>
    <w:rsid w:val="00AA13DD"/>
    <w:rsid w:val="00AB10FF"/>
    <w:rsid w:val="00AC20BD"/>
    <w:rsid w:val="00AC3CF9"/>
    <w:rsid w:val="00AC53A4"/>
    <w:rsid w:val="00AD2F5C"/>
    <w:rsid w:val="00AD32C7"/>
    <w:rsid w:val="00AF6492"/>
    <w:rsid w:val="00B03071"/>
    <w:rsid w:val="00B054F7"/>
    <w:rsid w:val="00B16A37"/>
    <w:rsid w:val="00B307F8"/>
    <w:rsid w:val="00B40D8F"/>
    <w:rsid w:val="00B426AA"/>
    <w:rsid w:val="00B44C11"/>
    <w:rsid w:val="00B5166F"/>
    <w:rsid w:val="00B52923"/>
    <w:rsid w:val="00B5464A"/>
    <w:rsid w:val="00B621BD"/>
    <w:rsid w:val="00B66DBF"/>
    <w:rsid w:val="00B71389"/>
    <w:rsid w:val="00B71992"/>
    <w:rsid w:val="00B7692E"/>
    <w:rsid w:val="00B921AB"/>
    <w:rsid w:val="00B92E4A"/>
    <w:rsid w:val="00BA1024"/>
    <w:rsid w:val="00BA5E91"/>
    <w:rsid w:val="00BB3770"/>
    <w:rsid w:val="00BB4E77"/>
    <w:rsid w:val="00BC2044"/>
    <w:rsid w:val="00BD55C0"/>
    <w:rsid w:val="00BF004B"/>
    <w:rsid w:val="00BF670F"/>
    <w:rsid w:val="00C01885"/>
    <w:rsid w:val="00C02B60"/>
    <w:rsid w:val="00C069EB"/>
    <w:rsid w:val="00C23B08"/>
    <w:rsid w:val="00C23D15"/>
    <w:rsid w:val="00C244C8"/>
    <w:rsid w:val="00C25A1E"/>
    <w:rsid w:val="00C31ABD"/>
    <w:rsid w:val="00C34F07"/>
    <w:rsid w:val="00C40260"/>
    <w:rsid w:val="00C42B7A"/>
    <w:rsid w:val="00C4410D"/>
    <w:rsid w:val="00C50CF5"/>
    <w:rsid w:val="00C51A13"/>
    <w:rsid w:val="00C52F2D"/>
    <w:rsid w:val="00C64FEF"/>
    <w:rsid w:val="00C67D1F"/>
    <w:rsid w:val="00C72B3E"/>
    <w:rsid w:val="00C76DAD"/>
    <w:rsid w:val="00C85518"/>
    <w:rsid w:val="00C968CE"/>
    <w:rsid w:val="00CA32D1"/>
    <w:rsid w:val="00CC5ECD"/>
    <w:rsid w:val="00CD0C7A"/>
    <w:rsid w:val="00CF341E"/>
    <w:rsid w:val="00D3597B"/>
    <w:rsid w:val="00D359C3"/>
    <w:rsid w:val="00D42718"/>
    <w:rsid w:val="00D601A6"/>
    <w:rsid w:val="00D649A1"/>
    <w:rsid w:val="00D85703"/>
    <w:rsid w:val="00D921EF"/>
    <w:rsid w:val="00DA0F17"/>
    <w:rsid w:val="00DA18E9"/>
    <w:rsid w:val="00DB4383"/>
    <w:rsid w:val="00DC7FB4"/>
    <w:rsid w:val="00DD458E"/>
    <w:rsid w:val="00DE1802"/>
    <w:rsid w:val="00DE1B5E"/>
    <w:rsid w:val="00DF5FE4"/>
    <w:rsid w:val="00E119FA"/>
    <w:rsid w:val="00E1263B"/>
    <w:rsid w:val="00E313B5"/>
    <w:rsid w:val="00E326AB"/>
    <w:rsid w:val="00E3528B"/>
    <w:rsid w:val="00E40D4B"/>
    <w:rsid w:val="00E45341"/>
    <w:rsid w:val="00E507E3"/>
    <w:rsid w:val="00E51AD8"/>
    <w:rsid w:val="00E56A0B"/>
    <w:rsid w:val="00E66679"/>
    <w:rsid w:val="00E77535"/>
    <w:rsid w:val="00E77DAE"/>
    <w:rsid w:val="00E820CF"/>
    <w:rsid w:val="00E83EDF"/>
    <w:rsid w:val="00E851B8"/>
    <w:rsid w:val="00E86234"/>
    <w:rsid w:val="00E90066"/>
    <w:rsid w:val="00E973B4"/>
    <w:rsid w:val="00EA609F"/>
    <w:rsid w:val="00EA68EF"/>
    <w:rsid w:val="00EC1AA7"/>
    <w:rsid w:val="00EE1547"/>
    <w:rsid w:val="00EF0933"/>
    <w:rsid w:val="00F00B5E"/>
    <w:rsid w:val="00F11298"/>
    <w:rsid w:val="00F11545"/>
    <w:rsid w:val="00F140AD"/>
    <w:rsid w:val="00F24D67"/>
    <w:rsid w:val="00F27664"/>
    <w:rsid w:val="00F30639"/>
    <w:rsid w:val="00F3388A"/>
    <w:rsid w:val="00F52C2C"/>
    <w:rsid w:val="00F579BA"/>
    <w:rsid w:val="00F755E9"/>
    <w:rsid w:val="00F763A6"/>
    <w:rsid w:val="00F768DB"/>
    <w:rsid w:val="00F80756"/>
    <w:rsid w:val="00F912DE"/>
    <w:rsid w:val="00FC091B"/>
    <w:rsid w:val="00FC213B"/>
    <w:rsid w:val="00FD5530"/>
    <w:rsid w:val="00FE66ED"/>
    <w:rsid w:val="01CE52A6"/>
    <w:rsid w:val="027A720D"/>
    <w:rsid w:val="05932870"/>
    <w:rsid w:val="0EAA3BB4"/>
    <w:rsid w:val="0F017C24"/>
    <w:rsid w:val="100714AB"/>
    <w:rsid w:val="100A3C79"/>
    <w:rsid w:val="12FD4C26"/>
    <w:rsid w:val="13305420"/>
    <w:rsid w:val="13657978"/>
    <w:rsid w:val="17FF1DBE"/>
    <w:rsid w:val="187D639C"/>
    <w:rsid w:val="1BC04CEF"/>
    <w:rsid w:val="1C310915"/>
    <w:rsid w:val="26666A8A"/>
    <w:rsid w:val="272C7571"/>
    <w:rsid w:val="2B873F9A"/>
    <w:rsid w:val="2B94538D"/>
    <w:rsid w:val="2D082681"/>
    <w:rsid w:val="2D891628"/>
    <w:rsid w:val="2E071DCE"/>
    <w:rsid w:val="2EA45CEB"/>
    <w:rsid w:val="2FD628C5"/>
    <w:rsid w:val="329B0280"/>
    <w:rsid w:val="33CE4D26"/>
    <w:rsid w:val="33CF13E3"/>
    <w:rsid w:val="353403DA"/>
    <w:rsid w:val="35826B48"/>
    <w:rsid w:val="3915093B"/>
    <w:rsid w:val="39736223"/>
    <w:rsid w:val="3B4E2F01"/>
    <w:rsid w:val="3D23042C"/>
    <w:rsid w:val="3EAF465F"/>
    <w:rsid w:val="42BE7D3D"/>
    <w:rsid w:val="472B02AE"/>
    <w:rsid w:val="4A774751"/>
    <w:rsid w:val="4EBB09BC"/>
    <w:rsid w:val="4F7C7DD9"/>
    <w:rsid w:val="543E6D68"/>
    <w:rsid w:val="54666AE5"/>
    <w:rsid w:val="56833505"/>
    <w:rsid w:val="57387ED9"/>
    <w:rsid w:val="58625BAF"/>
    <w:rsid w:val="5A257FAB"/>
    <w:rsid w:val="5C994296"/>
    <w:rsid w:val="5E244958"/>
    <w:rsid w:val="6327723E"/>
    <w:rsid w:val="63A05563"/>
    <w:rsid w:val="6A1A5C45"/>
    <w:rsid w:val="6B275DC2"/>
    <w:rsid w:val="6B2E3283"/>
    <w:rsid w:val="6CA335CD"/>
    <w:rsid w:val="70CA28AB"/>
    <w:rsid w:val="70F536DA"/>
    <w:rsid w:val="715716BA"/>
    <w:rsid w:val="72CF59AB"/>
    <w:rsid w:val="78FE48CF"/>
    <w:rsid w:val="79021BC3"/>
    <w:rsid w:val="79E27A63"/>
    <w:rsid w:val="7B57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widowControl/>
      <w:spacing w:before="100" w:beforeAutospacing="1" w:after="100" w:afterAutospacing="1"/>
      <w:jc w:val="center"/>
      <w:outlineLvl w:val="0"/>
    </w:pPr>
    <w:rPr>
      <w:rFonts w:hint="eastAsia" w:ascii="宋体" w:hAnsi="宋体"/>
      <w:b/>
      <w:kern w:val="36"/>
      <w:sz w:val="30"/>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semiHidden/>
    <w:unhideWhenUsed/>
    <w:qFormat/>
    <w:uiPriority w:val="0"/>
    <w:pPr>
      <w:jc w:val="left"/>
    </w:pPr>
  </w:style>
  <w:style w:type="paragraph" w:styleId="4">
    <w:name w:val="Balloon Text"/>
    <w:basedOn w:val="1"/>
    <w:link w:val="21"/>
    <w:qFormat/>
    <w:uiPriority w:val="0"/>
    <w:rPr>
      <w:sz w:val="18"/>
      <w:szCs w:val="18"/>
    </w:rPr>
  </w:style>
  <w:style w:type="paragraph" w:styleId="5">
    <w:name w:val="footer"/>
    <w:basedOn w:val="1"/>
    <w:link w:val="19"/>
    <w:qFormat/>
    <w:uiPriority w:val="99"/>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2"/>
    <w:qFormat/>
    <w:uiPriority w:val="0"/>
    <w:pPr>
      <w:snapToGrid w:val="0"/>
      <w:jc w:val="left"/>
    </w:pPr>
    <w:rPr>
      <w:sz w:val="18"/>
      <w:szCs w:val="18"/>
    </w:rPr>
  </w:style>
  <w:style w:type="paragraph" w:styleId="8">
    <w:name w:val="Normal (Web)"/>
    <w:basedOn w:val="1"/>
    <w:unhideWhenUsed/>
    <w:qFormat/>
    <w:uiPriority w:val="99"/>
    <w:pPr>
      <w:widowControl/>
      <w:spacing w:before="100" w:beforeAutospacing="1" w:after="100" w:afterAutospacing="1"/>
      <w:jc w:val="left"/>
    </w:pPr>
    <w:rPr>
      <w:rFonts w:hint="eastAsia" w:ascii="宋体" w:hAnsi="宋体"/>
      <w:kern w:val="0"/>
      <w:sz w:val="24"/>
      <w:szCs w:val="20"/>
    </w:rPr>
  </w:style>
  <w:style w:type="paragraph" w:styleId="9">
    <w:name w:val="annotation subject"/>
    <w:basedOn w:val="3"/>
    <w:next w:val="3"/>
    <w:link w:val="24"/>
    <w:semiHidden/>
    <w:unhideWhenUsed/>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22"/>
    <w:rPr>
      <w:rFonts w:hint="default" w:ascii="Times New Roman"/>
      <w:b/>
    </w:rPr>
  </w:style>
  <w:style w:type="character" w:styleId="14">
    <w:name w:val="Emphasis"/>
    <w:basedOn w:val="12"/>
    <w:qFormat/>
    <w:uiPriority w:val="0"/>
    <w:rPr>
      <w:i/>
    </w:rPr>
  </w:style>
  <w:style w:type="character" w:styleId="15">
    <w:name w:val="Hyperlink"/>
    <w:basedOn w:val="12"/>
    <w:qFormat/>
    <w:uiPriority w:val="0"/>
    <w:rPr>
      <w:color w:val="0563C1" w:themeColor="hyperlink"/>
      <w:u w:val="single"/>
      <w14:textFill>
        <w14:solidFill>
          <w14:schemeClr w14:val="hlink"/>
        </w14:solidFill>
      </w14:textFill>
    </w:rPr>
  </w:style>
  <w:style w:type="character" w:styleId="16">
    <w:name w:val="annotation reference"/>
    <w:basedOn w:val="12"/>
    <w:semiHidden/>
    <w:unhideWhenUsed/>
    <w:qFormat/>
    <w:uiPriority w:val="0"/>
    <w:rPr>
      <w:sz w:val="21"/>
      <w:szCs w:val="21"/>
    </w:rPr>
  </w:style>
  <w:style w:type="character" w:styleId="17">
    <w:name w:val="footnote reference"/>
    <w:basedOn w:val="12"/>
    <w:qFormat/>
    <w:uiPriority w:val="0"/>
    <w:rPr>
      <w:vertAlign w:val="superscript"/>
    </w:rPr>
  </w:style>
  <w:style w:type="character" w:customStyle="1" w:styleId="18">
    <w:name w:val="页眉 Char"/>
    <w:basedOn w:val="12"/>
    <w:link w:val="6"/>
    <w:qFormat/>
    <w:uiPriority w:val="0"/>
    <w:rPr>
      <w:kern w:val="2"/>
      <w:sz w:val="18"/>
      <w:szCs w:val="18"/>
    </w:rPr>
  </w:style>
  <w:style w:type="character" w:customStyle="1" w:styleId="19">
    <w:name w:val="页脚 Char"/>
    <w:basedOn w:val="12"/>
    <w:link w:val="5"/>
    <w:qFormat/>
    <w:uiPriority w:val="99"/>
    <w:rPr>
      <w:kern w:val="2"/>
      <w:sz w:val="18"/>
      <w:szCs w:val="18"/>
    </w:rPr>
  </w:style>
  <w:style w:type="character" w:customStyle="1" w:styleId="20">
    <w:name w:val="标题 1 Char"/>
    <w:basedOn w:val="12"/>
    <w:link w:val="2"/>
    <w:qFormat/>
    <w:uiPriority w:val="9"/>
    <w:rPr>
      <w:rFonts w:ascii="宋体" w:hAnsi="宋体"/>
      <w:b/>
      <w:kern w:val="36"/>
      <w:sz w:val="30"/>
    </w:rPr>
  </w:style>
  <w:style w:type="character" w:customStyle="1" w:styleId="21">
    <w:name w:val="批注框文本 Char"/>
    <w:basedOn w:val="12"/>
    <w:link w:val="4"/>
    <w:qFormat/>
    <w:uiPriority w:val="0"/>
    <w:rPr>
      <w:kern w:val="2"/>
      <w:sz w:val="18"/>
      <w:szCs w:val="18"/>
    </w:rPr>
  </w:style>
  <w:style w:type="character" w:customStyle="1" w:styleId="22">
    <w:name w:val="脚注文本 Char"/>
    <w:basedOn w:val="12"/>
    <w:link w:val="7"/>
    <w:qFormat/>
    <w:uiPriority w:val="0"/>
    <w:rPr>
      <w:kern w:val="2"/>
      <w:sz w:val="18"/>
      <w:szCs w:val="18"/>
    </w:rPr>
  </w:style>
  <w:style w:type="character" w:customStyle="1" w:styleId="23">
    <w:name w:val="批注文字 Char"/>
    <w:basedOn w:val="12"/>
    <w:link w:val="3"/>
    <w:semiHidden/>
    <w:qFormat/>
    <w:uiPriority w:val="0"/>
    <w:rPr>
      <w:kern w:val="2"/>
      <w:sz w:val="21"/>
      <w:szCs w:val="24"/>
    </w:rPr>
  </w:style>
  <w:style w:type="character" w:customStyle="1" w:styleId="24">
    <w:name w:val="批注主题 Char"/>
    <w:basedOn w:val="23"/>
    <w:link w:val="9"/>
    <w:semiHidden/>
    <w:qFormat/>
    <w:uiPriority w:val="0"/>
    <w:rPr>
      <w:b/>
      <w:bCs/>
      <w:kern w:val="2"/>
      <w:sz w:val="21"/>
      <w:szCs w:val="24"/>
    </w:rPr>
  </w:style>
  <w:style w:type="paragraph" w:customStyle="1" w:styleId="25">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26">
    <w:name w:val="正文 A"/>
    <w:next w:val="27"/>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27">
    <w:name w:val="标题 21"/>
    <w:next w:val="26"/>
    <w:qFormat/>
    <w:uiPriority w:val="0"/>
    <w:pPr>
      <w:keepNext/>
      <w:keepLines/>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260" w:beforeAutospacing="0" w:after="260" w:afterAutospacing="0" w:line="416" w:lineRule="auto"/>
      <w:ind w:left="0" w:right="0" w:firstLine="0"/>
      <w:jc w:val="both"/>
      <w:outlineLvl w:val="1"/>
    </w:pPr>
    <w:rPr>
      <w:rFonts w:hint="eastAsia" w:ascii="Arial Unicode MS" w:hAnsi="Arial Unicode MS" w:eastAsia="Arial Unicode MS" w:cs="Arial Unicode MS"/>
      <w:b/>
      <w:bCs/>
      <w:color w:val="000000"/>
      <w:spacing w:val="0"/>
      <w:w w:val="100"/>
      <w:kern w:val="2"/>
      <w:position w:val="0"/>
      <w:sz w:val="32"/>
      <w:szCs w:val="32"/>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81F257-6172-45C8-950C-3463EE85CD37}">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539</Words>
  <Characters>3076</Characters>
  <Lines>25</Lines>
  <Paragraphs>7</Paragraphs>
  <TotalTime>1</TotalTime>
  <ScaleCrop>false</ScaleCrop>
  <LinksUpToDate>false</LinksUpToDate>
  <CharactersWithSpaces>3608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2021-07-05T03:08:00Z</dcterms:created>
  <dc:creator>“诗酒·趁‖年华</dc:creator>
  <cp:lastModifiedBy>怡靖鍾</cp:lastModifiedBy>
  <cp:lastPrinted>2021-07-08T03:00:00Z</cp:lastPrinted>
  <dcterms:modified xsi:type="dcterms:W3CDTF">2021-07-12T08:36:29Z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EDOID">
    <vt:i4>-1020258842</vt:i4>
  </property>
  <property fmtid="{D5CDD505-2E9C-101B-9397-08002B2CF9AE}" pid="4" name="KSOSaveFontToCloudKey">
    <vt:lpwstr>0_btnclosed</vt:lpwstr>
  </property>
  <property fmtid="{D5CDD505-2E9C-101B-9397-08002B2CF9AE}" pid="5" name="ICV">
    <vt:lpwstr>EEDAB3D1DE374248B00924B5CF3E8405</vt:lpwstr>
  </property>
</Properties>
</file>