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bookmarkStart w:id="4" w:name="_GoBack"/>
      <w:bookmarkStart w:id="0" w:name="OLE_LINK35"/>
      <w:bookmarkStart w:id="1" w:name="OLE_LINK36"/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广东省优秀研究生暨曾永裕奖学金评选办法</w:t>
      </w:r>
      <w:bookmarkEnd w:id="0"/>
      <w:bookmarkEnd w:id="1"/>
    </w:p>
    <w:bookmarkEnd w:id="4"/>
    <w:p>
      <w:pPr>
        <w:widowControl/>
        <w:spacing w:line="27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为鼓励研究生在校期间勤奋学习、刻苦钻研、全面发展，营造崇尚先进、学习先进的良好氛围，根据《华南师范大学曾永裕奖学基金评奖条例》和广东省教育厅关于评选表彰广东省优秀学生（研究生阶段）等相关文件的精神，结合我院实际，特制定本评选办法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一、组织架构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成立“教育科学学院广东省优秀研究生暨曾永裕奖学金评选监督小组”（以下简称为“评选监督小组”），由院长和院党委书记任组长，主管研究生培养工作的副院长、院党委副书记和学科（专业）指导组召集人代表为成员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成立“教育科学学院广东省优秀研究生暨曾永裕奖学金评选工作小组”（以下简称为“评选工作小组”），由主管研究生培养工作的副院长、院党委副书记任组长，成员包括学科（专业）指导组导师代表、院研究生工作办公室主任、研究生政治辅导员和研究生代表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二、评选程序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（一）研究生本人申请；申请人指导教师推荐。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（二）学院评选工作小组初评确定拟推荐人选；学院评选监督工作小组审核；拟推荐广东省优秀研究生人选需经学院学术分委员会审查。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（三）结果公示、异议与申诉。对评选结果有异议的，可在公示期内，以实名书面方式向学院评选监督小组提出申诉。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（四）学院评选监督小组处理申诉。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（五）评选结果报送学校主管部门审定。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三、申请对象和条件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（一）申请对象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1.广东省优秀学生：我院在学研究生，原则上以毕业年级研究生为主。已获广东省优秀学生称号的研究生，在同一学习阶段不得重复参评。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2.曾永裕奖学金：我院应届全日制在读（脱产学习）毕业年级博士生、硕士生（基本学制范围内）。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（二）评选条件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1. 基本条件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（1）拥护党的路线、方针和政策，遵守国家法律和学校各项规章制度，道德品质良好，尊师爱校，团结同学，关心集体。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2）勤奋好学，刻苦钻研，成绩优良，单科学习成绩不低于70分（含外语），主要课程平均成绩不低于80分。硕士研究生计算平均分数的课程为8门（学位课程5-6门，选修课程2-3门），博士研究生计算平均分数的课程为5门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2. 业绩要求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（1）博士研究生满足下列条件之一者：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highlight w:val="yellow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在本专业领域内发表A级（含）以上具有较高创新水平和科学价值的论文（申请人为独立作者、第一作者，或为第二作者、其导师为第一作者）；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（b）获得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省、部级以上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科研或教学成果奖，其中，一、二等奖申请人排名前3，三等奖申请人排名前2。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(2)学术学位硕士研究生满足下列条件之一者：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highlight w:val="yellow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（a）在本学科领域内发表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B级（含）以上具有较高创新水平和科学价值的论文（申请人为独立作者、第一作者，或为第二作者、其导师为第一作者）；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（b）获得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市、厅级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科研或教学成果奖，其中，一、二等奖申请人排名前3，三等奖申请人排名前2。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(3)专业学位硕士研究生满足下列条件之一者：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（a）拥有发明专利授权，或行（企）业认定的技术创新、科研成果转化，或已被政府、教育等机构采纳的咨询报告等应用性成果；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highlight w:val="yellow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在公开发行的学术期刊（包括教育科研机构和本科高校主办的教育类学术期刊，以及本科高校学报等）发表学术论文，或在地级市（含）以上教研机构主办的教研类期刊上发表教研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（c）获得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yellow"/>
        </w:rPr>
        <w:t>市、厅级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科研或教学成果奖，其中，一、二等奖申请人排名前3，三等奖申请人排名前2；或获得省级（含）以上专业学位教育指导委员会组办的教育教学技能竞赛奖励，或主持县区级（含）以上教研课题立项，或获得院级（含）以上教学技能竞赛一等奖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（三）在上述同等情况下，满足以下条件之一者可予优先考虑：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1.积极参加社会实践、志愿服务、社会公益等活动，先进事迹突出，受到各级政府表彰或奖励者；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2.到基层参加社会服务，或到“老、少、边、贫、农”地区支教者；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3.参加其它相关竞赛（具体情况由学院评选工作小组认定）获奖者。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（四）在学期间有以下情况之一者，不接受其申请：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1.有违反国家法律、校纪校规行为者；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2.存在学术不端及失信行为者；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3.有考试成绩不合格或重修记录者；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4.拖欠学费、住宿费者。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四、其它事项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（一）申请人提交的支撑材料，须为现学段在读期间获取的成果。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（二）申请人提交的论著、课题和奖励证书等材料，必须佐以原件方为有效。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（三）发现违反诚信原则、弄虚作假、为自己或他人谋取不正当利益的申请者，一律取消参评资格，并视其情节给予批评训诫或报请学校给予纪律处分。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（四）其它类型的以学业为主的研究生评优工作，参照本办法执行。</w:t>
      </w:r>
    </w:p>
    <w:p>
      <w:pPr>
        <w:widowControl/>
        <w:spacing w:line="27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（五）本办法经学院党政联席会议讨论通过后施行，由学院党政联席会议负责解释。</w:t>
      </w:r>
    </w:p>
    <w:p>
      <w:pPr>
        <w:widowControl/>
        <w:spacing w:line="27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</w:rPr>
      </w:pP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 </w:t>
      </w:r>
    </w:p>
    <w:p>
      <w:pPr>
        <w:widowControl/>
        <w:spacing w:line="270" w:lineRule="atLeast"/>
        <w:ind w:right="240"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教育科学学院</w:t>
      </w:r>
    </w:p>
    <w:p>
      <w:pPr>
        <w:widowControl/>
        <w:spacing w:line="270" w:lineRule="atLeast"/>
        <w:ind w:right="360"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2020年3月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>
      <w:r>
        <w:br w:type="page"/>
      </w:r>
    </w:p>
    <w:p>
      <w:pPr>
        <w:jc w:val="center"/>
        <w:rPr>
          <w:sz w:val="40"/>
          <w:szCs w:val="40"/>
        </w:rPr>
      </w:pPr>
      <w:bookmarkStart w:id="2" w:name="OLE_LINK40"/>
      <w:bookmarkStart w:id="3" w:name="OLE_LINK39"/>
      <w:r>
        <w:rPr>
          <w:rFonts w:hint="eastAsia"/>
          <w:sz w:val="40"/>
          <w:szCs w:val="40"/>
        </w:rPr>
        <w:t>关于广东省优秀研究生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和曾永裕奖学金评选的补充说明</w:t>
      </w:r>
    </w:p>
    <w:bookmarkEnd w:id="2"/>
    <w:bookmarkEnd w:id="3"/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广东省优秀研究生和曾永裕奖学金的评选规则为“相对多数当选”；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在申报人条件相近时，参照以下原则选定：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（1）同类（论文/奖项等类别）成果，级别高者优先；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（2）同级别成果，数量多者优先；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（3）同类同级等量成果，按独立作者、第一作者和第二作者（限本人导师为第一作者）的排序，依次优先。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在具体分配曾永裕奖学金名额时：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（1）在博士研究生、学术学位硕士研究生和专业学位硕士研究生等三个类型中，每类至少各分配一个基础名额；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（2）剩余名额根据候选学生成果，择优选定；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（3）如某类别无学生参加申报或申报人条件均不达标时，则取消该类别对应的基础名额，统一调配到其他类别。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4.在申报者均为应届毕业生的情况下，广东省优秀研究生拟推荐人选，原则上应从曾永裕奖学金拟定人选中产生。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教育科学学院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2020年3月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1"/>
    <w:rsid w:val="00165C80"/>
    <w:rsid w:val="004B0A39"/>
    <w:rsid w:val="006B450C"/>
    <w:rsid w:val="00815CF6"/>
    <w:rsid w:val="00D61270"/>
    <w:rsid w:val="00E31E71"/>
    <w:rsid w:val="00FD7A4F"/>
    <w:rsid w:val="07A91DEC"/>
    <w:rsid w:val="10E350C5"/>
    <w:rsid w:val="26B93FB4"/>
    <w:rsid w:val="3EC859B8"/>
    <w:rsid w:val="5EF27B69"/>
    <w:rsid w:val="645A0430"/>
    <w:rsid w:val="74B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2189</Words>
  <Characters>2220</Characters>
  <Lines>13</Lines>
  <Paragraphs>3</Paragraphs>
  <TotalTime>96</TotalTime>
  <ScaleCrop>false</ScaleCrop>
  <LinksUpToDate>false</LinksUpToDate>
  <CharactersWithSpaces>2223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2020-04-04T09:51:00Z</dcterms:created>
  <dc:creator>904151537@qq.com</dc:creator>
  <cp:lastModifiedBy>FM</cp:lastModifiedBy>
  <cp:lastPrinted>2021-04-19T03:26:00Z</cp:lastPrinted>
  <dcterms:modified xsi:type="dcterms:W3CDTF">2023-05-06T02:45:06Z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978FF987A0B9429A9CFDE5CA9F46D60F_13</vt:lpwstr>
  </property>
</Properties>
</file>