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附件4：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微团课大赛评选标准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tbl>
      <w:tblPr>
        <w:tblStyle w:val="2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80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4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围绕本次大赛主题，结合团员教育工作重点，主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鲜明，思想性、时代性、针对性较强。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授课内容科学、准确、系统，注重理论联系实际；备课充分，材料充分，能结合具体事例，论证有力，重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点突出，抓住关键，富有说服力、感染力。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结构严谨，层次分明，逻辑严密，脉络清晰；授课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时间分配合理，时间控制在10分钟以内。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语言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普通话标准、语言流畅，表情生动，情绪饱满，有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渗透力和感染力。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仪容仪态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面容洁净、衣着整洁得体，仪态端庄大方，举止自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然得体。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授课形式灵活多样，运用情境教育、启发式教育等，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注重营造良好的授课氛围与环境。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6807" w:type="dxa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能联系实际，聚焦主题、围绕主题思想进行讲解，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容易引起共鸣，吸引力、感染力强。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20分</w:t>
            </w:r>
          </w:p>
        </w:tc>
      </w:tr>
    </w:tbl>
    <w:p>
      <w:pPr>
        <w:widowControl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DgzZTcwM2ZlZDg3OWZiOWUyNWY5ZDI2NWQ2NGQifQ=="/>
  </w:docVars>
  <w:rsids>
    <w:rsidRoot w:val="32825E81"/>
    <w:rsid w:val="32825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桂城街道办事处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2023-05-11T01:24:00Z</dcterms:created>
  <dc:creator>廖俪雯</dc:creator>
  <cp:lastModifiedBy>廖俪雯</cp:lastModifiedBy>
  <dcterms:modified xsi:type="dcterms:W3CDTF">2023-05-11T01:29:47Z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FED3119DE6DE47A4A6CA62C658204F2C_11</vt:lpwstr>
  </property>
</Properties>
</file>