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C9" w:rsidRDefault="00B2566D" w:rsidP="00044260">
      <w:pPr>
        <w:spacing w:line="360" w:lineRule="auto"/>
        <w:rPr>
          <w:rFonts w:eastAsia="方正小标宋简体"/>
          <w:b/>
          <w:color w:val="C00000"/>
          <w:sz w:val="72"/>
          <w:szCs w:val="72"/>
        </w:rPr>
      </w:pPr>
      <w:r>
        <w:rPr>
          <w:rFonts w:eastAsia="方正小标宋简体" w:hint="eastAsia"/>
          <w:b/>
          <w:color w:val="C00000"/>
          <w:sz w:val="72"/>
          <w:szCs w:val="72"/>
        </w:rPr>
        <w:t xml:space="preserve">               </w:t>
      </w:r>
    </w:p>
    <w:p w:rsidR="002A713B" w:rsidRDefault="002A713B" w:rsidP="00044260">
      <w:pPr>
        <w:spacing w:line="360" w:lineRule="auto"/>
        <w:rPr>
          <w:rFonts w:eastAsia="方正小标宋简体"/>
          <w:b/>
          <w:color w:val="4472C4" w:themeColor="accent5"/>
          <w:sz w:val="20"/>
          <w:szCs w:val="20"/>
        </w:rPr>
      </w:pPr>
    </w:p>
    <w:p w:rsidR="002A713B" w:rsidRDefault="002A713B" w:rsidP="00044260">
      <w:pPr>
        <w:spacing w:line="360" w:lineRule="auto"/>
        <w:rPr>
          <w:rFonts w:eastAsia="方正小标宋简体"/>
          <w:b/>
          <w:color w:val="4472C4" w:themeColor="accent5"/>
          <w:sz w:val="20"/>
          <w:szCs w:val="20"/>
        </w:rPr>
      </w:pPr>
    </w:p>
    <w:p w:rsidR="00A752C9" w:rsidRDefault="00B2566D">
      <w:pPr>
        <w:spacing w:line="360" w:lineRule="auto"/>
        <w:rPr>
          <w:rFonts w:eastAsia="方正小标宋简体"/>
          <w:b/>
          <w:color w:val="000000"/>
          <w:sz w:val="40"/>
          <w:szCs w:val="40"/>
        </w:rPr>
      </w:pPr>
      <w:r>
        <w:rPr>
          <w:rFonts w:eastAsia="方正小标宋简体" w:hint="eastAsia"/>
          <w:b/>
          <w:sz w:val="20"/>
          <w:szCs w:val="20"/>
        </w:rPr>
        <w:t xml:space="preserve">        </w:t>
      </w:r>
      <w:r>
        <w:rPr>
          <w:rFonts w:eastAsia="方正小标宋简体" w:hint="eastAsia"/>
          <w:b/>
          <w:color w:val="000000"/>
          <w:sz w:val="40"/>
          <w:szCs w:val="40"/>
        </w:rPr>
        <w:t>2024</w:t>
      </w:r>
      <w:r>
        <w:rPr>
          <w:rFonts w:eastAsia="方正小标宋简体" w:hint="eastAsia"/>
          <w:b/>
          <w:color w:val="000000"/>
          <w:sz w:val="40"/>
          <w:szCs w:val="40"/>
        </w:rPr>
        <w:t>年广东省民办学校举办</w:t>
      </w:r>
      <w:proofErr w:type="gramStart"/>
      <w:r>
        <w:rPr>
          <w:rFonts w:eastAsia="方正小标宋简体" w:hint="eastAsia"/>
          <w:b/>
          <w:color w:val="000000"/>
          <w:sz w:val="40"/>
          <w:szCs w:val="40"/>
        </w:rPr>
        <w:t>者高级</w:t>
      </w:r>
      <w:proofErr w:type="gramEnd"/>
      <w:r>
        <w:rPr>
          <w:rFonts w:eastAsia="方正小标宋简体" w:hint="eastAsia"/>
          <w:b/>
          <w:color w:val="000000"/>
          <w:sz w:val="40"/>
          <w:szCs w:val="40"/>
        </w:rPr>
        <w:t>研修班</w:t>
      </w:r>
    </w:p>
    <w:p w:rsidR="00A752C9" w:rsidRDefault="00B2566D">
      <w:pPr>
        <w:spacing w:line="360" w:lineRule="auto"/>
        <w:jc w:val="center"/>
        <w:rPr>
          <w:rFonts w:eastAsia="方正小标宋简体"/>
          <w:b/>
          <w:color w:val="000000"/>
          <w:sz w:val="40"/>
          <w:szCs w:val="40"/>
        </w:rPr>
      </w:pPr>
      <w:r>
        <w:rPr>
          <w:rFonts w:eastAsia="方正小标宋简体" w:hint="eastAsia"/>
          <w:b/>
          <w:color w:val="000000"/>
          <w:sz w:val="40"/>
          <w:szCs w:val="40"/>
        </w:rPr>
        <w:t>举办及报名通知（第一期）</w:t>
      </w:r>
    </w:p>
    <w:p w:rsidR="00A752C9" w:rsidRDefault="00A752C9">
      <w:pPr>
        <w:rPr>
          <w:rFonts w:ascii="仿宋" w:eastAsia="仿宋" w:hAnsi="仿宋" w:cs="仿宋"/>
          <w:kern w:val="0"/>
          <w:sz w:val="28"/>
          <w:szCs w:val="28"/>
          <w:u w:val="single"/>
        </w:rPr>
      </w:pPr>
    </w:p>
    <w:p w:rsidR="00A752C9" w:rsidRDefault="00B2566D">
      <w:pPr>
        <w:snapToGrid w:val="0"/>
        <w:spacing w:line="360" w:lineRule="auto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各地市教育局，有关学校：</w:t>
      </w:r>
    </w:p>
    <w:p w:rsidR="00A752C9" w:rsidRDefault="00B2566D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您好！为促进民办教育高质发展，让民办教育在落实国家人才与教</w:t>
      </w:r>
    </w:p>
    <w:p w:rsidR="00A752C9" w:rsidRDefault="00B2566D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育强国战略中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积极贡献，并支持和推动华南师范大学教育学科建设</w:t>
      </w:r>
    </w:p>
    <w:p w:rsidR="00A752C9" w:rsidRDefault="00B2566D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发展，为社会培养更多服务于民办学校的高级人才。现由华南师范大学</w:t>
      </w:r>
    </w:p>
    <w:p w:rsidR="00A752C9" w:rsidRDefault="00B2566D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教育科学学院民办教育研究中心和</w:t>
      </w:r>
      <w:r w:rsidR="00044260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华南师范大学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铁明教育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奖励基金共同举办广东省民办学校举办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者高级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研修班。依据培训计划，现定于2024年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月开展免费培训，望各地市教育局，有关学校组织相关人员参</w:t>
      </w:r>
    </w:p>
    <w:p w:rsidR="00A752C9" w:rsidRDefault="00B2566D">
      <w:pPr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加培训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学习。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本五年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期项目</w:t>
      </w:r>
      <w:proofErr w:type="gramEnd"/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得到广东省教育基金会大力支持。具体安排及相关事项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通知如下：</w:t>
      </w:r>
    </w:p>
    <w:p w:rsidR="00A752C9" w:rsidRDefault="00B2566D">
      <w:pPr>
        <w:spacing w:line="360" w:lineRule="auto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一、培训对象</w:t>
      </w:r>
    </w:p>
    <w:p w:rsidR="00A752C9" w:rsidRDefault="00B2566D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广东省民办学校（中小学）董事长、副董事长、董事、副董事</w:t>
      </w:r>
    </w:p>
    <w:p w:rsidR="00A752C9" w:rsidRDefault="00B2566D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二、培训时间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1.报到时间：2024年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月2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日（周日）；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2.集中学习时间：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月2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日（周一）至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27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日（周五）；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（9月2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日下午饭后结束返程）。</w:t>
      </w:r>
    </w:p>
    <w:p w:rsidR="00A752C9" w:rsidRDefault="00B2566D">
      <w:pPr>
        <w:spacing w:line="360" w:lineRule="auto"/>
        <w:ind w:firstLineChars="200" w:firstLine="562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三、培训地点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上课地点：华南师范大学石牌校区教育科学学院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四、费用说明</w:t>
      </w:r>
    </w:p>
    <w:p w:rsidR="00A752C9" w:rsidRDefault="00B2566D">
      <w:pPr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1、培训期间师资费、教学资源费、办公用品及其它费用等，由组织方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华南师范大学张铁明教育奖励基金承担。</w:t>
      </w:r>
    </w:p>
    <w:p w:rsidR="00A752C9" w:rsidRDefault="00B2566D">
      <w:pPr>
        <w:spacing w:line="360" w:lineRule="auto"/>
        <w:ind w:firstLineChars="100" w:firstLine="281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培训期间学员的往返交通费、住宿费、餐费等差旅费由学员自付或</w:t>
      </w:r>
      <w:proofErr w:type="gramStart"/>
      <w:r>
        <w:rPr>
          <w:rFonts w:ascii="仿宋" w:eastAsia="仿宋" w:hAnsi="仿宋" w:cs="仿宋" w:hint="eastAsia"/>
          <w:b/>
          <w:kern w:val="0"/>
          <w:sz w:val="28"/>
          <w:szCs w:val="28"/>
        </w:rPr>
        <w:t>回所在</w:t>
      </w:r>
      <w:proofErr w:type="gramEnd"/>
      <w:r>
        <w:rPr>
          <w:rFonts w:ascii="仿宋" w:eastAsia="仿宋" w:hAnsi="仿宋" w:cs="仿宋" w:hint="eastAsia"/>
          <w:b/>
          <w:kern w:val="0"/>
          <w:sz w:val="28"/>
          <w:szCs w:val="28"/>
        </w:rPr>
        <w:t>单位报销。</w:t>
      </w:r>
    </w:p>
    <w:p w:rsidR="00A752C9" w:rsidRDefault="00B2566D">
      <w:pPr>
        <w:spacing w:line="360" w:lineRule="auto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五、通讯联系方式</w:t>
      </w:r>
    </w:p>
    <w:tbl>
      <w:tblPr>
        <w:tblW w:w="7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222"/>
        <w:gridCol w:w="2499"/>
      </w:tblGrid>
      <w:tr w:rsidR="00A752C9" w:rsidTr="00044260">
        <w:trPr>
          <w:trHeight w:val="561"/>
          <w:jc w:val="center"/>
        </w:trPr>
        <w:tc>
          <w:tcPr>
            <w:tcW w:w="2317" w:type="dxa"/>
            <w:vAlign w:val="center"/>
          </w:tcPr>
          <w:p w:rsidR="00A752C9" w:rsidRDefault="00B2566D">
            <w:pPr>
              <w:tabs>
                <w:tab w:val="left" w:pos="4678"/>
                <w:tab w:val="left" w:pos="5625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班别</w:t>
            </w:r>
          </w:p>
        </w:tc>
        <w:tc>
          <w:tcPr>
            <w:tcW w:w="2222" w:type="dxa"/>
            <w:vAlign w:val="center"/>
          </w:tcPr>
          <w:p w:rsidR="00A752C9" w:rsidRDefault="00B2566D">
            <w:pPr>
              <w:tabs>
                <w:tab w:val="left" w:pos="4678"/>
                <w:tab w:val="left" w:pos="5625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99" w:type="dxa"/>
            <w:vAlign w:val="center"/>
          </w:tcPr>
          <w:p w:rsidR="00A752C9" w:rsidRDefault="00B2566D">
            <w:pPr>
              <w:tabs>
                <w:tab w:val="left" w:pos="4678"/>
                <w:tab w:val="left" w:pos="5625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联系方式</w:t>
            </w:r>
          </w:p>
        </w:tc>
      </w:tr>
      <w:tr w:rsidR="00A752C9" w:rsidTr="00044260">
        <w:trPr>
          <w:trHeight w:val="1620"/>
          <w:jc w:val="center"/>
        </w:trPr>
        <w:tc>
          <w:tcPr>
            <w:tcW w:w="2317" w:type="dxa"/>
            <w:vAlign w:val="center"/>
          </w:tcPr>
          <w:p w:rsidR="00A752C9" w:rsidRDefault="00B2566D">
            <w:pPr>
              <w:jc w:val="center"/>
              <w:rPr>
                <w:rFonts w:eastAsia="方正小标宋简体"/>
                <w:b/>
                <w:color w:val="000000"/>
                <w:szCs w:val="21"/>
              </w:rPr>
            </w:pPr>
            <w:r>
              <w:rPr>
                <w:rFonts w:eastAsia="方正小标宋简体" w:hint="eastAsia"/>
                <w:b/>
                <w:color w:val="000000"/>
                <w:szCs w:val="21"/>
              </w:rPr>
              <w:t>2024</w:t>
            </w:r>
            <w:r>
              <w:rPr>
                <w:rFonts w:eastAsia="方正小标宋简体" w:hint="eastAsia"/>
                <w:b/>
                <w:color w:val="000000"/>
                <w:szCs w:val="21"/>
              </w:rPr>
              <w:t>年广东省民办学校举办者首期</w:t>
            </w:r>
          </w:p>
          <w:p w:rsidR="00A752C9" w:rsidRDefault="00B2566D">
            <w:pPr>
              <w:jc w:val="center"/>
              <w:rPr>
                <w:rFonts w:eastAsia="方正小标宋简体"/>
                <w:b/>
                <w:color w:val="000000"/>
                <w:szCs w:val="21"/>
              </w:rPr>
            </w:pPr>
            <w:r>
              <w:rPr>
                <w:rFonts w:eastAsia="方正小标宋简体" w:hint="eastAsia"/>
                <w:b/>
                <w:color w:val="000000"/>
                <w:szCs w:val="21"/>
              </w:rPr>
              <w:t>高级研修班</w:t>
            </w:r>
          </w:p>
        </w:tc>
        <w:tc>
          <w:tcPr>
            <w:tcW w:w="2222" w:type="dxa"/>
            <w:vAlign w:val="center"/>
          </w:tcPr>
          <w:p w:rsidR="00A752C9" w:rsidRDefault="00B2566D">
            <w:pPr>
              <w:tabs>
                <w:tab w:val="left" w:pos="4678"/>
                <w:tab w:val="left" w:pos="5625"/>
              </w:tabs>
              <w:spacing w:line="360" w:lineRule="auto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郎彩霞</w:t>
            </w:r>
          </w:p>
          <w:p w:rsidR="00A752C9" w:rsidRDefault="00B2566D" w:rsidP="00044260">
            <w:pPr>
              <w:tabs>
                <w:tab w:val="left" w:pos="4678"/>
                <w:tab w:val="left" w:pos="5625"/>
              </w:tabs>
              <w:spacing w:line="360" w:lineRule="auto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 xml:space="preserve">   肖红珍</w:t>
            </w:r>
          </w:p>
        </w:tc>
        <w:tc>
          <w:tcPr>
            <w:tcW w:w="2499" w:type="dxa"/>
            <w:vAlign w:val="center"/>
          </w:tcPr>
          <w:p w:rsidR="00A752C9" w:rsidRDefault="00B2566D">
            <w:pPr>
              <w:tabs>
                <w:tab w:val="left" w:pos="4678"/>
                <w:tab w:val="left" w:pos="5625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>13922115890</w:t>
            </w:r>
          </w:p>
          <w:p w:rsidR="00A752C9" w:rsidRDefault="00B2566D" w:rsidP="00044260">
            <w:pPr>
              <w:tabs>
                <w:tab w:val="left" w:pos="4678"/>
                <w:tab w:val="left" w:pos="5625"/>
              </w:tabs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710412966</w:t>
            </w:r>
          </w:p>
        </w:tc>
      </w:tr>
    </w:tbl>
    <w:p w:rsidR="00A752C9" w:rsidRDefault="00A752C9">
      <w:pPr>
        <w:tabs>
          <w:tab w:val="left" w:pos="4678"/>
        </w:tabs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</w:p>
    <w:p w:rsidR="00A752C9" w:rsidRDefault="00B2566D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华南师范大学教育科学学院民办教育研究中心</w:t>
      </w:r>
    </w:p>
    <w:p w:rsidR="00455622" w:rsidRPr="00455622" w:rsidRDefault="00455622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（华南师范大学教育科学学院代章）</w:t>
      </w:r>
    </w:p>
    <w:p w:rsidR="00A752C9" w:rsidRDefault="00B2566D">
      <w:pPr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  </w:t>
      </w:r>
      <w:r w:rsidR="00455622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华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南师范大学张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铁明教育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奖励基金</w:t>
      </w:r>
    </w:p>
    <w:p w:rsidR="00A752C9" w:rsidRDefault="00B2566D">
      <w:pPr>
        <w:tabs>
          <w:tab w:val="left" w:pos="4678"/>
        </w:tabs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2024年</w:t>
      </w:r>
      <w:r>
        <w:rPr>
          <w:rFonts w:ascii="仿宋" w:eastAsia="仿宋" w:hAnsi="仿宋" w:cs="仿宋"/>
          <w:bCs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月</w:t>
      </w:r>
      <w:r w:rsidR="006C446B">
        <w:rPr>
          <w:rFonts w:ascii="仿宋" w:eastAsia="仿宋" w:hAnsi="仿宋" w:cs="仿宋" w:hint="eastAsia"/>
          <w:bCs/>
          <w:kern w:val="0"/>
          <w:sz w:val="28"/>
          <w:szCs w:val="28"/>
        </w:rPr>
        <w:t>1</w:t>
      </w:r>
      <w:r w:rsidR="00F50B32">
        <w:rPr>
          <w:rFonts w:ascii="仿宋" w:eastAsia="仿宋" w:hAnsi="仿宋" w:cs="仿宋"/>
          <w:bCs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</w:t>
      </w:r>
    </w:p>
    <w:p w:rsidR="00A752C9" w:rsidRDefault="00A752C9">
      <w:pPr>
        <w:tabs>
          <w:tab w:val="left" w:pos="4678"/>
        </w:tabs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</w:p>
    <w:p w:rsidR="00805AC6" w:rsidRDefault="00B2566D">
      <w:pPr>
        <w:spacing w:line="360" w:lineRule="auto"/>
        <w:rPr>
          <w:rFonts w:ascii="微软雅黑" w:eastAsia="微软雅黑" w:hAnsi="微软雅黑" w:cs="微软雅黑"/>
          <w:b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</w:rPr>
        <w:t>附件：报名参训回执</w:t>
      </w:r>
      <w:r w:rsidR="00805AC6">
        <w:rPr>
          <w:rFonts w:ascii="微软雅黑" w:eastAsia="微软雅黑" w:hAnsi="微软雅黑" w:cs="微软雅黑" w:hint="eastAsia"/>
          <w:b/>
          <w:kern w:val="0"/>
          <w:sz w:val="24"/>
        </w:rPr>
        <w:t>（需加盖学校公章）</w:t>
      </w:r>
    </w:p>
    <w:p w:rsidR="00A752C9" w:rsidRDefault="00B2566D">
      <w:pPr>
        <w:spacing w:line="360" w:lineRule="auto"/>
        <w:rPr>
          <w:rFonts w:ascii="微软雅黑" w:eastAsia="微软雅黑" w:hAnsi="微软雅黑" w:cs="微软雅黑"/>
          <w:b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kern w:val="0"/>
          <w:sz w:val="24"/>
        </w:rPr>
        <w:t>（每一个学校限一名举办者，按报名时间顺序安排，报名截至</w:t>
      </w:r>
      <w:r w:rsidR="006C446B">
        <w:rPr>
          <w:rFonts w:ascii="微软雅黑" w:eastAsia="微软雅黑" w:hAnsi="微软雅黑" w:cs="微软雅黑" w:hint="eastAsia"/>
          <w:b/>
          <w:kern w:val="0"/>
          <w:sz w:val="24"/>
        </w:rPr>
        <w:t>2024.</w:t>
      </w:r>
      <w:r w:rsidR="006C446B">
        <w:rPr>
          <w:rFonts w:ascii="微软雅黑" w:eastAsia="微软雅黑" w:hAnsi="微软雅黑" w:cs="微软雅黑"/>
          <w:b/>
          <w:kern w:val="0"/>
          <w:sz w:val="24"/>
        </w:rPr>
        <w:t>7</w:t>
      </w:r>
      <w:r w:rsidR="006C446B">
        <w:rPr>
          <w:rFonts w:ascii="微软雅黑" w:eastAsia="微软雅黑" w:hAnsi="微软雅黑" w:cs="微软雅黑" w:hint="eastAsia"/>
          <w:b/>
          <w:kern w:val="0"/>
          <w:sz w:val="24"/>
        </w:rPr>
        <w:t>.</w:t>
      </w:r>
      <w:r w:rsidR="00F50B32">
        <w:rPr>
          <w:rFonts w:ascii="微软雅黑" w:eastAsia="微软雅黑" w:hAnsi="微软雅黑" w:cs="微软雅黑"/>
          <w:b/>
          <w:kern w:val="0"/>
          <w:sz w:val="24"/>
        </w:rPr>
        <w:t>18</w:t>
      </w:r>
      <w:r>
        <w:rPr>
          <w:rFonts w:ascii="微软雅黑" w:eastAsia="微软雅黑" w:hAnsi="微软雅黑" w:cs="微软雅黑" w:hint="eastAsia"/>
          <w:b/>
          <w:kern w:val="0"/>
          <w:sz w:val="24"/>
        </w:rPr>
        <w:t>止）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36"/>
        <w:gridCol w:w="2613"/>
        <w:gridCol w:w="2175"/>
        <w:gridCol w:w="2175"/>
      </w:tblGrid>
      <w:tr w:rsidR="00A752C9">
        <w:tc>
          <w:tcPr>
            <w:tcW w:w="1736" w:type="dxa"/>
          </w:tcPr>
          <w:p w:rsidR="00A752C9" w:rsidRDefault="00B256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13" w:type="dxa"/>
          </w:tcPr>
          <w:p w:rsidR="00A752C9" w:rsidRDefault="00B256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单位及地址</w:t>
            </w:r>
          </w:p>
        </w:tc>
        <w:tc>
          <w:tcPr>
            <w:tcW w:w="2175" w:type="dxa"/>
          </w:tcPr>
          <w:p w:rsidR="00A752C9" w:rsidRDefault="00B256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175" w:type="dxa"/>
          </w:tcPr>
          <w:p w:rsidR="00A752C9" w:rsidRDefault="00B2566D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联系方式</w:t>
            </w:r>
          </w:p>
        </w:tc>
      </w:tr>
      <w:tr w:rsidR="00A752C9">
        <w:tc>
          <w:tcPr>
            <w:tcW w:w="1736" w:type="dxa"/>
          </w:tcPr>
          <w:p w:rsidR="00A752C9" w:rsidRDefault="00A752C9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613" w:type="dxa"/>
          </w:tcPr>
          <w:p w:rsidR="00A752C9" w:rsidRDefault="00A752C9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75" w:type="dxa"/>
          </w:tcPr>
          <w:p w:rsidR="00A752C9" w:rsidRDefault="00A752C9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75" w:type="dxa"/>
          </w:tcPr>
          <w:p w:rsidR="00A752C9" w:rsidRDefault="00A752C9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</w:tbl>
    <w:p w:rsidR="00A752C9" w:rsidRDefault="00B2566D">
      <w:pPr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回执邮箱：</w:t>
      </w:r>
      <w:r>
        <w:rPr>
          <w:rFonts w:ascii="仿宋" w:eastAsia="仿宋" w:hAnsi="仿宋" w:cs="仿宋"/>
          <w:kern w:val="0"/>
          <w:sz w:val="28"/>
          <w:szCs w:val="28"/>
        </w:rPr>
        <w:t>313272414</w:t>
      </w:r>
      <w:r>
        <w:rPr>
          <w:rFonts w:ascii="仿宋" w:eastAsia="仿宋" w:hAnsi="仿宋" w:cs="仿宋" w:hint="eastAsia"/>
          <w:kern w:val="0"/>
          <w:sz w:val="28"/>
          <w:szCs w:val="28"/>
        </w:rPr>
        <w:t>@qq.com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</w:t>
      </w:r>
    </w:p>
    <w:sectPr w:rsidR="00A752C9">
      <w:headerReference w:type="default" r:id="rId7"/>
      <w:footerReference w:type="even" r:id="rId8"/>
      <w:pgSz w:w="11906" w:h="16838"/>
      <w:pgMar w:top="1134" w:right="1627" w:bottom="1134" w:left="157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58" w:rsidRDefault="00D01B58">
      <w:r>
        <w:separator/>
      </w:r>
    </w:p>
  </w:endnote>
  <w:endnote w:type="continuationSeparator" w:id="0">
    <w:p w:rsidR="00D01B58" w:rsidRDefault="00D0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A9F68A-87AD-4C70-95C9-34BDC6F3D1E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184BCD9-F893-41CF-835F-4AFFF554E4A1}"/>
    <w:embedBold r:id="rId3" w:subsetted="1" w:fontKey="{EF83FC0C-D658-4602-9A40-ADE8DD9A33C9}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  <w:embedBold r:id="rId4" w:subsetted="1" w:fontKey="{189A6DD5-8AD6-47D1-AC9F-E1BF3AE24DC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707E7050-0CA8-4C7B-809F-EF73BB62554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6" w:subsetted="1" w:fontKey="{91CD147B-D270-4D29-A123-4A8F25D435A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C9" w:rsidRDefault="00B2566D">
    <w:pPr>
      <w:pStyle w:val="a9"/>
      <w:framePr w:wrap="around" w:vAnchor="text" w:hAnchor="margin" w:xAlign="center" w:y="2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end"/>
    </w:r>
  </w:p>
  <w:p w:rsidR="00A752C9" w:rsidRDefault="00A752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58" w:rsidRDefault="00D01B58">
      <w:r>
        <w:separator/>
      </w:r>
    </w:p>
  </w:footnote>
  <w:footnote w:type="continuationSeparator" w:id="0">
    <w:p w:rsidR="00D01B58" w:rsidRDefault="00D0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C9" w:rsidRDefault="00A752C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1YWVmY2RjNTZhOTU0OWZkYmIyN2Y2N2JkOGUzNzQifQ=="/>
  </w:docVars>
  <w:rsids>
    <w:rsidRoot w:val="00C616A0"/>
    <w:rsid w:val="00004DA2"/>
    <w:rsid w:val="00025C1B"/>
    <w:rsid w:val="00044260"/>
    <w:rsid w:val="00052A50"/>
    <w:rsid w:val="00054B26"/>
    <w:rsid w:val="0007470F"/>
    <w:rsid w:val="00087203"/>
    <w:rsid w:val="001856E9"/>
    <w:rsid w:val="001E114D"/>
    <w:rsid w:val="001E61A6"/>
    <w:rsid w:val="001F2CE9"/>
    <w:rsid w:val="00203238"/>
    <w:rsid w:val="0023249D"/>
    <w:rsid w:val="00296143"/>
    <w:rsid w:val="002A713B"/>
    <w:rsid w:val="002B0521"/>
    <w:rsid w:val="00327A80"/>
    <w:rsid w:val="00332255"/>
    <w:rsid w:val="00335583"/>
    <w:rsid w:val="003373C8"/>
    <w:rsid w:val="00354633"/>
    <w:rsid w:val="00391463"/>
    <w:rsid w:val="003A0337"/>
    <w:rsid w:val="003F4FCA"/>
    <w:rsid w:val="00416469"/>
    <w:rsid w:val="00425F9C"/>
    <w:rsid w:val="0044743D"/>
    <w:rsid w:val="00455622"/>
    <w:rsid w:val="0047359C"/>
    <w:rsid w:val="004920FA"/>
    <w:rsid w:val="004A1BEB"/>
    <w:rsid w:val="004B0FF1"/>
    <w:rsid w:val="004D366F"/>
    <w:rsid w:val="005277DF"/>
    <w:rsid w:val="0055551D"/>
    <w:rsid w:val="0056325F"/>
    <w:rsid w:val="005818D3"/>
    <w:rsid w:val="006063A3"/>
    <w:rsid w:val="00607A37"/>
    <w:rsid w:val="00682D64"/>
    <w:rsid w:val="006C446B"/>
    <w:rsid w:val="006F20AC"/>
    <w:rsid w:val="006F681D"/>
    <w:rsid w:val="00711779"/>
    <w:rsid w:val="007126F2"/>
    <w:rsid w:val="00783DEA"/>
    <w:rsid w:val="00794C7B"/>
    <w:rsid w:val="007B6F17"/>
    <w:rsid w:val="007C22D3"/>
    <w:rsid w:val="007E0960"/>
    <w:rsid w:val="007F48B9"/>
    <w:rsid w:val="00805AC6"/>
    <w:rsid w:val="008153D9"/>
    <w:rsid w:val="00845A23"/>
    <w:rsid w:val="009021FB"/>
    <w:rsid w:val="00906533"/>
    <w:rsid w:val="009366AE"/>
    <w:rsid w:val="00946206"/>
    <w:rsid w:val="00966CE9"/>
    <w:rsid w:val="00A077F0"/>
    <w:rsid w:val="00A32EBA"/>
    <w:rsid w:val="00A52878"/>
    <w:rsid w:val="00A72062"/>
    <w:rsid w:val="00A752C9"/>
    <w:rsid w:val="00A97B0F"/>
    <w:rsid w:val="00AB7ACC"/>
    <w:rsid w:val="00AC68D7"/>
    <w:rsid w:val="00AF52A6"/>
    <w:rsid w:val="00B2566D"/>
    <w:rsid w:val="00B26B6C"/>
    <w:rsid w:val="00B3125B"/>
    <w:rsid w:val="00B405A4"/>
    <w:rsid w:val="00B42940"/>
    <w:rsid w:val="00B65072"/>
    <w:rsid w:val="00B70F56"/>
    <w:rsid w:val="00B73070"/>
    <w:rsid w:val="00BE65CE"/>
    <w:rsid w:val="00C03520"/>
    <w:rsid w:val="00C479A5"/>
    <w:rsid w:val="00C616A0"/>
    <w:rsid w:val="00C800CE"/>
    <w:rsid w:val="00CB04BF"/>
    <w:rsid w:val="00CB0713"/>
    <w:rsid w:val="00CC3CBC"/>
    <w:rsid w:val="00D01B58"/>
    <w:rsid w:val="00D03814"/>
    <w:rsid w:val="00D236F6"/>
    <w:rsid w:val="00D542F4"/>
    <w:rsid w:val="00D73898"/>
    <w:rsid w:val="00D96050"/>
    <w:rsid w:val="00E13E1B"/>
    <w:rsid w:val="00E418BE"/>
    <w:rsid w:val="00E639B8"/>
    <w:rsid w:val="00E7246E"/>
    <w:rsid w:val="00E9482D"/>
    <w:rsid w:val="00F01C49"/>
    <w:rsid w:val="00F01F22"/>
    <w:rsid w:val="00F50B32"/>
    <w:rsid w:val="01510DBE"/>
    <w:rsid w:val="0D9F5754"/>
    <w:rsid w:val="0DF742E8"/>
    <w:rsid w:val="16DC39A4"/>
    <w:rsid w:val="17784DF2"/>
    <w:rsid w:val="18E312A2"/>
    <w:rsid w:val="19C56701"/>
    <w:rsid w:val="1C731F2C"/>
    <w:rsid w:val="21537CA1"/>
    <w:rsid w:val="281261EF"/>
    <w:rsid w:val="30080EB9"/>
    <w:rsid w:val="352C74C5"/>
    <w:rsid w:val="3B4D1EC1"/>
    <w:rsid w:val="3FB86B84"/>
    <w:rsid w:val="4E1C6E78"/>
    <w:rsid w:val="52375A07"/>
    <w:rsid w:val="547F2BAC"/>
    <w:rsid w:val="6EB87F35"/>
    <w:rsid w:val="74961827"/>
    <w:rsid w:val="7C080D7F"/>
    <w:rsid w:val="7C3F19DF"/>
    <w:rsid w:val="7D9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87357"/>
  <w15:docId w15:val="{DACB54BF-7158-4235-B0F8-771161F7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="Arial" w:eastAsiaTheme="minorEastAsia" w:hAnsi="Arial" w:cstheme="minorBidi"/>
      <w:szCs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nhideWhenUsed/>
    <w:qFormat/>
    <w:pPr>
      <w:jc w:val="left"/>
    </w:pPr>
  </w:style>
  <w:style w:type="paragraph" w:styleId="31">
    <w:name w:val="toc 3"/>
    <w:basedOn w:val="a"/>
    <w:next w:val="a"/>
    <w:autoRedefine/>
    <w:uiPriority w:val="39"/>
    <w:unhideWhenUsed/>
    <w:qFormat/>
    <w:pPr>
      <w:ind w:left="420"/>
      <w:jc w:val="left"/>
    </w:pPr>
    <w:rPr>
      <w:rFonts w:asciiTheme="minorHAnsi" w:eastAsiaTheme="minorEastAsia" w:hAnsiTheme="minorHAnsi" w:cstheme="minorBidi"/>
      <w:i/>
      <w:iCs/>
      <w:sz w:val="20"/>
      <w:szCs w:val="20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before="120" w:after="120"/>
      <w:jc w:val="left"/>
    </w:pPr>
    <w:rPr>
      <w:rFonts w:asciiTheme="minorHAnsi" w:eastAsiaTheme="minorEastAsia" w:hAnsiTheme="minorHAnsi" w:cstheme="minorBid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pPr>
      <w:ind w:left="210"/>
      <w:jc w:val="left"/>
    </w:pPr>
    <w:rPr>
      <w:rFonts w:asciiTheme="minorHAnsi" w:eastAsiaTheme="minorEastAsia" w:hAnsiTheme="minorHAnsi" w:cstheme="minorBidi"/>
      <w:smallCaps/>
      <w:sz w:val="20"/>
      <w:szCs w:val="20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link w:val="af"/>
    <w:autoRedefine/>
    <w:uiPriority w:val="10"/>
    <w:qFormat/>
    <w:pPr>
      <w:spacing w:before="240" w:after="60"/>
      <w:jc w:val="center"/>
      <w:outlineLvl w:val="0"/>
    </w:pPr>
    <w:rPr>
      <w:rFonts w:ascii="Arial" w:eastAsiaTheme="minorEastAsia" w:hAnsi="Arial" w:cstheme="minorBidi"/>
      <w:b/>
      <w:sz w:val="32"/>
      <w:szCs w:val="22"/>
    </w:rPr>
  </w:style>
  <w:style w:type="paragraph" w:styleId="af0">
    <w:name w:val="annotation subject"/>
    <w:basedOn w:val="a3"/>
    <w:next w:val="a3"/>
    <w:link w:val="af1"/>
    <w:autoRedefine/>
    <w:qFormat/>
    <w:rPr>
      <w:rFonts w:asciiTheme="minorHAnsi" w:eastAsiaTheme="minorEastAsia" w:hAnsiTheme="minorHAnsi" w:cstheme="minorBidi"/>
      <w:b/>
      <w:bCs/>
    </w:rPr>
  </w:style>
  <w:style w:type="table" w:styleId="af2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autoRedefine/>
    <w:uiPriority w:val="22"/>
    <w:qFormat/>
    <w:rPr>
      <w:rFonts w:ascii="Times New Roman" w:eastAsia="宋体" w:hAnsi="Times New Roman" w:cs="Times New Roman"/>
      <w:b/>
      <w:bCs/>
    </w:rPr>
  </w:style>
  <w:style w:type="character" w:styleId="af4">
    <w:name w:val="page number"/>
    <w:basedOn w:val="a0"/>
    <w:autoRedefine/>
    <w:qFormat/>
  </w:style>
  <w:style w:type="character" w:styleId="af5">
    <w:name w:val="FollowedHyperlink"/>
    <w:autoRedefine/>
    <w:uiPriority w:val="99"/>
    <w:unhideWhenUsed/>
    <w:qFormat/>
    <w:rPr>
      <w:color w:val="800080"/>
      <w:u w:val="single"/>
    </w:rPr>
  </w:style>
  <w:style w:type="character" w:styleId="af6">
    <w:name w:val="Hyperlink"/>
    <w:autoRedefine/>
    <w:uiPriority w:val="99"/>
    <w:qFormat/>
    <w:rPr>
      <w:color w:val="1F3A87"/>
      <w:u w:val="none"/>
    </w:rPr>
  </w:style>
  <w:style w:type="character" w:styleId="af7">
    <w:name w:val="annotation reference"/>
    <w:basedOn w:val="a0"/>
    <w:autoRedefine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Arial" w:hAnsi="Arial"/>
      <w:kern w:val="2"/>
      <w:sz w:val="21"/>
      <w:szCs w:val="22"/>
    </w:rPr>
  </w:style>
  <w:style w:type="character" w:customStyle="1" w:styleId="3Char">
    <w:name w:val="标题 3 Char"/>
    <w:basedOn w:val="a0"/>
    <w:autoRedefine/>
    <w:uiPriority w:val="9"/>
    <w:semiHidden/>
    <w:qFormat/>
    <w:rPr>
      <w:rFonts w:ascii="Times New Roman" w:eastAsia="宋体" w:hAnsi="Times New Roman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12">
    <w:name w:val="列出段落1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character" w:customStyle="1" w:styleId="af">
    <w:name w:val="标题 字符"/>
    <w:basedOn w:val="a0"/>
    <w:link w:val="ae"/>
    <w:autoRedefine/>
    <w:uiPriority w:val="10"/>
    <w:qFormat/>
    <w:rPr>
      <w:rFonts w:ascii="Arial" w:hAnsi="Arial"/>
      <w:b/>
      <w:kern w:val="2"/>
      <w:sz w:val="32"/>
      <w:szCs w:val="22"/>
    </w:rPr>
  </w:style>
  <w:style w:type="paragraph" w:customStyle="1" w:styleId="TOC1">
    <w:name w:val="TOC 标题1"/>
    <w:basedOn w:val="1"/>
    <w:next w:val="a"/>
    <w:autoRedefine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character" w:customStyle="1" w:styleId="font11">
    <w:name w:val="font1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c">
    <w:name w:val="页眉 字符"/>
    <w:link w:val="ab"/>
    <w:autoRedefine/>
    <w:qFormat/>
    <w:rPr>
      <w:kern w:val="2"/>
      <w:sz w:val="18"/>
      <w:szCs w:val="18"/>
    </w:rPr>
  </w:style>
  <w:style w:type="character" w:customStyle="1" w:styleId="Char1">
    <w:name w:val="页眉 Char1"/>
    <w:basedOn w:val="a0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link w:val="a9"/>
    <w:autoRedefine/>
    <w:qFormat/>
    <w:rPr>
      <w:kern w:val="2"/>
      <w:sz w:val="18"/>
      <w:szCs w:val="18"/>
    </w:rPr>
  </w:style>
  <w:style w:type="character" w:customStyle="1" w:styleId="Char10">
    <w:name w:val="页脚 Char1"/>
    <w:basedOn w:val="a0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f1">
    <w:name w:val="批注主题 字符"/>
    <w:link w:val="af0"/>
    <w:autoRedefine/>
    <w:qFormat/>
    <w:rPr>
      <w:b/>
      <w:bCs/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1">
    <w:name w:val="批注主题 Char1"/>
    <w:basedOn w:val="a4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link w:val="a7"/>
    <w:autoRedefine/>
    <w:qFormat/>
    <w:rPr>
      <w:kern w:val="2"/>
      <w:sz w:val="18"/>
      <w:szCs w:val="18"/>
    </w:rPr>
  </w:style>
  <w:style w:type="character" w:customStyle="1" w:styleId="Char12">
    <w:name w:val="批注框文本 Char1"/>
    <w:basedOn w:val="a0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01">
    <w:name w:val="font01"/>
    <w:autoRedefine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a6">
    <w:name w:val="日期 字符"/>
    <w:basedOn w:val="a0"/>
    <w:link w:val="a5"/>
    <w:autoRedefine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89">
    <w:name w:val="xl89"/>
    <w:basedOn w:val="a"/>
    <w:autoRedefine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6">
    <w:name w:val="xl86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2">
    <w:name w:val="xl72"/>
    <w:basedOn w:val="a"/>
    <w:autoRedefine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5">
    <w:name w:val="xl85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1">
    <w:name w:val="xl71"/>
    <w:basedOn w:val="a"/>
    <w:autoRedefine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9">
    <w:name w:val="xl79"/>
    <w:basedOn w:val="a"/>
    <w:autoRedefine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CharChar3CharChar">
    <w:name w:val="Char Char3 Char Char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5">
    <w:name w:val="xl75"/>
    <w:basedOn w:val="a"/>
    <w:autoRedefine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4">
    <w:name w:val="xl6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2">
    <w:name w:val="xl82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6">
    <w:name w:val="xl76"/>
    <w:basedOn w:val="a"/>
    <w:autoRedefine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8">
    <w:name w:val="xl88"/>
    <w:basedOn w:val="a"/>
    <w:autoRedefine/>
    <w:qFormat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CharCharChar1CharCharCharChar">
    <w:name w:val="Char Char Char1 Char Char Char Char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xl87">
    <w:name w:val="xl87"/>
    <w:basedOn w:val="a"/>
    <w:autoRedefine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13">
    <w:name w:val="修订1"/>
    <w:autoRedefine/>
    <w:uiPriority w:val="99"/>
    <w:unhideWhenUsed/>
    <w:qFormat/>
    <w:rPr>
      <w:kern w:val="2"/>
      <w:sz w:val="21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3">
    <w:name w:val="批注文字 Char1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089ED6-A91A-4414-8976-F9E7E822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langlang</cp:lastModifiedBy>
  <cp:revision>15</cp:revision>
  <cp:lastPrinted>2024-06-18T06:43:00Z</cp:lastPrinted>
  <dcterms:created xsi:type="dcterms:W3CDTF">2024-05-08T07:46:00Z</dcterms:created>
  <dcterms:modified xsi:type="dcterms:W3CDTF">2024-06-18T07:04:00Z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F169B7555CC548F896FDD5BFC3D741C3_13</vt:lpwstr>
  </property>
</Properties>
</file>