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923D9">
      <w:pPr>
        <w:spacing w:line="560" w:lineRule="exact"/>
        <w:ind w:left="1" w:leftChars="0" w:hanging="1" w:firstLineChars="0"/>
        <w:jc w:val="center"/>
        <w:rPr>
          <w:rFonts w:hint="eastAsia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关于2026年微专业修读项目宣传及学生遴选工作的通知</w:t>
      </w:r>
    </w:p>
    <w:p w14:paraId="6B46AFEC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一、专业简介</w:t>
      </w:r>
    </w:p>
    <w:p w14:paraId="11D7DDE8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“跨学科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师范教育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”微专业是华南师范大学立足于教育高质量发展与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粤港澳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大湾区教育建设需求，依托学校优势学科和实践科研平台打造的复合型人才培养项目。本专业通过整合校内外教育资源，为有志于投身教育事业的非师范生提供“主修专业+教育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知识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”的复合型成长路径，衔接主修专业与教育的桥梁，拓宽职业体验与就业前景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亦是国际范围教师教育的通用作法之一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 w14:paraId="2168D9C9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二、培养特色</w:t>
      </w:r>
    </w:p>
    <w:p w14:paraId="4E77B8F4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专业赋能：夯实师范核心课程与技能</w:t>
      </w:r>
    </w:p>
    <w:p w14:paraId="61FF46AD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以师范生专业的公共课程，即教育学原理与研究方法、心理学、师德师风与班级管理和教育技术与智慧教学为核心课程，通过开展项目式学习、案例教学法等多种学习方式，赋能非师范生教育知识与技能。</w:t>
      </w:r>
    </w:p>
    <w:p w14:paraId="1947331E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实践融合：强化教育场景应用能力</w:t>
      </w:r>
    </w:p>
    <w:p w14:paraId="5B80B853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围绕中小学教学、教育研究等教育场景的实际问题，通过开展中小学一线课堂观摩学习、教学模拟、教育课题辅助调研等实践活动，帮助非师范生适应与熟悉教育行业工作情境，提升教育实践能力。</w:t>
      </w:r>
    </w:p>
    <w:p w14:paraId="742C2B5B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项目驱动成长：培育复合型教育能力</w:t>
      </w:r>
    </w:p>
    <w:p w14:paraId="5D882EC7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以项目式学习为核心载体，通过组织非师范生参与教育类实践项目，培养其教育问题分析与解决能力、团队沟通与协作能力，同时引导其将主修专业与师范教育的知识与技能相结合，助力成长为适配多元教育岗位的复合型人才。</w:t>
      </w:r>
    </w:p>
    <w:p w14:paraId="4C7777B6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师资汇聚：构建多元协同育人体系</w:t>
      </w:r>
    </w:p>
    <w:p w14:paraId="1E385EC8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组建“高校学院教师+教研员”的教师队伍，形成多元协同的育人体系。高校教师主要负责讲解跨学科教育理论与前沿研究成果，帮助学生构建理论框架。教研员主要承担实践教学指导，分享真实课堂的教学经验与技巧。</w:t>
      </w:r>
    </w:p>
    <w:p w14:paraId="7398D414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三、师资力量</w:t>
      </w:r>
    </w:p>
    <w:p w14:paraId="490CF0A9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依托学校优势学科，通过整合校内外教育资源与科研平台，“跨学科教育学基础”微专业团队成员主要由华南师范大学教师组成，同时吸纳具有丰富中小学教学经验的教研员作为教学成员，是一支兼备深厚专业理论知识与丰富教学实践经验的师资队伍。</w:t>
      </w:r>
    </w:p>
    <w:p w14:paraId="107964BB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四、课程设置</w:t>
      </w:r>
    </w:p>
    <w:p w14:paraId="1C1A0B8A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微专业设置“核心理论课程+微格训练与教育实践课程”两个模块，共10学分。其中，核心理论课程开设4门课程，分别是教育学原理与研究方法、心理学、师德师风与班级管理、教育技术与智慧，每门课程2分，共8学分。微格训练与教育实践2学分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265"/>
        <w:gridCol w:w="709"/>
        <w:gridCol w:w="567"/>
        <w:gridCol w:w="438"/>
        <w:gridCol w:w="881"/>
        <w:gridCol w:w="3976"/>
      </w:tblGrid>
      <w:tr w14:paraId="1BCD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6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standardContextual"/>
              </w:rPr>
              <w:t>课程性质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4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standardContextual"/>
              </w:rPr>
              <w:t>课程名称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B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standardContextual"/>
              </w:rPr>
              <w:t>学时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7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standardContextual"/>
              </w:rPr>
              <w:t>学分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D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standardContextual"/>
              </w:rPr>
              <w:t>开课学期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4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standardContextual"/>
              </w:rPr>
              <w:t>学习方式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1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bidi="ar"/>
                <w14:ligatures w14:val="standardContextual"/>
              </w:rPr>
              <w:t>考核方式</w:t>
            </w:r>
          </w:p>
        </w:tc>
      </w:tr>
      <w:tr w14:paraId="442D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8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理论基础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8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教育学原理与研究方法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7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0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秋季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9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线上+线下授课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1.过程性评价（40%）：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小组专题汇报（聚焦教育政策热点或经典教育案例的理论拆解）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2.总结性评价（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60%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）：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文献综述/教育研究设计方案（设计可落地的教育研究框架）</w:t>
            </w:r>
          </w:p>
        </w:tc>
      </w:tr>
      <w:tr w14:paraId="3DBF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 w:bidi="ar"/>
                <w14:ligatures w14:val="standardContextual"/>
              </w:rPr>
              <w:t>专业基础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A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心理学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9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7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秋季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2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线下授课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3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1.过程性评价（50%）：基于教学实际问题，提供书面教学干预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设计与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0分钟场景化答辩</w:t>
            </w:r>
          </w:p>
          <w:p w14:paraId="24326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2.总结性评价（50%）：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教育心理案例分析报告</w:t>
            </w:r>
          </w:p>
        </w:tc>
      </w:tr>
      <w:tr w14:paraId="54B6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F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 w:bidi="ar"/>
                <w14:ligatures w14:val="standardContextual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技能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3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师德师风与班级管理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5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B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B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秋季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8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线下授课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2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1.过程性考核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40%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）：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含课堂讨论、小组模拟演练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等表现</w:t>
            </w:r>
          </w:p>
          <w:p w14:paraId="5D20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2.情境答辩（60%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）：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聚焦班级管理难题与师德合规场景</w:t>
            </w:r>
          </w:p>
        </w:tc>
      </w:tr>
      <w:tr w14:paraId="1A27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6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专项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 w:bidi="ar"/>
                <w14:ligatures w14:val="standardContextual"/>
              </w:rPr>
              <w:t>应用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9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教育技术与智慧教学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3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4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春季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D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线上+线下授课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1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1.实操考核（60%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）：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含课件开发、智慧教学工具实操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等</w:t>
            </w:r>
          </w:p>
          <w:p w14:paraId="52BF9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数字化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教学设计（40%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）：教学方案需融入多媒体学习理论与智慧教学场景</w:t>
            </w:r>
          </w:p>
        </w:tc>
      </w:tr>
      <w:tr w14:paraId="5313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5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综合实践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微格训练与教育实践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E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F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春季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线上+线下实习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1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过程性考核（30%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）：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含微格训练视频、见习日志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等</w:t>
            </w:r>
          </w:p>
          <w:p w14:paraId="71698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实践反思报告（40%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）</w:t>
            </w:r>
          </w:p>
          <w:p w14:paraId="797D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  <w:t>实习单位实操评价（30%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14:ligatures w14:val="standardContextual"/>
              </w:rPr>
              <w:t>）</w:t>
            </w:r>
          </w:p>
        </w:tc>
      </w:tr>
      <w:tr w14:paraId="4156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1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0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160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  <w14:ligatures w14:val="standardContextual"/>
              </w:rPr>
              <w:t>10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F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8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14:ligatures w14:val="standardContextual"/>
              </w:rPr>
            </w:pPr>
          </w:p>
        </w:tc>
      </w:tr>
    </w:tbl>
    <w:p w14:paraId="581AE4D6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五、招生对象与报名要求</w:t>
      </w:r>
    </w:p>
    <w:p w14:paraId="69186E84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全校大一至大三学生（2025级-2023级），入学以来已有平均学分绩点（GPA）3.0及以上，且无重修记录。</w:t>
      </w:r>
    </w:p>
    <w:p w14:paraId="18103E55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六、报名方式与报名时间</w:t>
      </w:r>
    </w:p>
    <w:p w14:paraId="00E41580">
      <w:pPr>
        <w:spacing w:line="560" w:lineRule="exact"/>
        <w:ind w:left="0" w:leftChars="0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请微信扫描二维码，填写问卷报名。报名时间自通知下发日至4月10日前。</w:t>
      </w:r>
    </w:p>
    <w:p w14:paraId="30CD6EB2">
      <w:pPr>
        <w:ind w:firstLine="420" w:firstLineChars="200"/>
      </w:pPr>
      <w:r>
        <w:rPr>
          <w:rFonts w:hint="eastAsia"/>
        </w:rPr>
        <w:drawing>
          <wp:inline distT="0" distB="0" distL="114300" distR="114300">
            <wp:extent cx="1757680" cy="1781810"/>
            <wp:effectExtent l="0" t="0" r="0" b="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rcRect l="14141" t="12292" r="13776" b="14635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9B174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七、宣讲互动方式、时间、地点</w:t>
      </w:r>
    </w:p>
    <w:p w14:paraId="5FEBC86E">
      <w:pPr>
        <w:spacing w:line="560" w:lineRule="exact"/>
        <w:ind w:left="0" w:leftChars="0" w:firstLine="560" w:firstLineChars="200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2026年4月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日下午15:00-17:00华南师范大学教育科学学院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125会议室。具体时间以预通知为准。</w:t>
      </w:r>
    </w:p>
    <w:p w14:paraId="4053CD82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八、遴选方式、时间、地点</w:t>
      </w:r>
    </w:p>
    <w:p w14:paraId="268DCE2A">
      <w:pPr>
        <w:spacing w:line="560" w:lineRule="exact"/>
        <w:ind w:left="0" w:leftChars="0" w:firstLine="562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遴选方式：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简历+面试，最终遴选方式结合报名情况另行通知。</w:t>
      </w:r>
    </w:p>
    <w:p w14:paraId="674397B9">
      <w:pPr>
        <w:spacing w:line="560" w:lineRule="exact"/>
        <w:ind w:left="0" w:leftChars="0" w:firstLine="562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结合报名情况另行通知。</w:t>
      </w:r>
    </w:p>
    <w:p w14:paraId="31765085">
      <w:pPr>
        <w:spacing w:line="560" w:lineRule="exact"/>
        <w:ind w:left="0" w:leftChars="0" w:firstLine="562" w:firstLineChars="200"/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结合报名情况另行通知。</w:t>
      </w:r>
    </w:p>
    <w:p w14:paraId="3B572FE6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九、教学安排、时间、地点</w:t>
      </w:r>
    </w:p>
    <w:p w14:paraId="6D62CB8B">
      <w:pPr>
        <w:spacing w:line="560" w:lineRule="exact"/>
        <w:ind w:left="0" w:leftChars="0"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教学安排：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春季学期</w:t>
      </w:r>
    </w:p>
    <w:p w14:paraId="1BD6D551">
      <w:pPr>
        <w:spacing w:line="560" w:lineRule="exact"/>
        <w:ind w:left="0" w:leftChars="0"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周末</w:t>
      </w:r>
    </w:p>
    <w:p w14:paraId="223C288C">
      <w:pPr>
        <w:spacing w:line="560" w:lineRule="exact"/>
        <w:ind w:left="0" w:leftChars="0"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地点：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线上+线下相结合。</w:t>
      </w:r>
    </w:p>
    <w:p w14:paraId="4334DDC4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十、结业要求</w:t>
      </w:r>
    </w:p>
    <w:p w14:paraId="6B679DB6">
      <w:pPr>
        <w:spacing w:line="560" w:lineRule="exact"/>
        <w:ind w:left="0" w:leftChars="0"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按时出勤，5门课程考核合格后发放证书。</w:t>
      </w:r>
    </w:p>
    <w:p w14:paraId="44E2B379">
      <w:pPr>
        <w:rPr>
          <w:rStyle w:val="8"/>
          <w:rFonts w:hint="default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十一、管理措施和要求</w:t>
      </w:r>
    </w:p>
    <w:p w14:paraId="178C3943">
      <w:pPr>
        <w:spacing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项目式学习和实操相结合，要求同学们认真准备，积极参与研讨实践。</w:t>
      </w:r>
    </w:p>
    <w:p w14:paraId="6F66C5CA">
      <w:pPr>
        <w:widowControl w:val="0"/>
        <w:spacing w:line="560" w:lineRule="exact"/>
        <w:ind w:left="0" w:lef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F464C"/>
          <w:spacing w:val="0"/>
          <w:kern w:val="2"/>
          <w:sz w:val="28"/>
          <w:szCs w:val="28"/>
          <w:shd w:val="clear" w:fill="FFFFFF"/>
          <w:lang w:val="en-US" w:eastAsia="zh-CN" w:bidi="ar-SA"/>
        </w:rPr>
        <w:t>十二、联系方式</w:t>
      </w:r>
    </w:p>
    <w:p w14:paraId="510FB2E7">
      <w:pPr>
        <w:spacing w:line="560" w:lineRule="exact"/>
        <w:ind w:left="0" w:leftChars="0"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联系人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狄老师</w:t>
      </w:r>
    </w:p>
    <w:p w14:paraId="31E66B19">
      <w:pPr>
        <w:spacing w:line="560" w:lineRule="exact"/>
        <w:ind w:left="0" w:leftChars="0"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电话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020-85217728</w:t>
      </w:r>
    </w:p>
    <w:p w14:paraId="43EB2F96">
      <w:pPr>
        <w:spacing w:line="560" w:lineRule="exact"/>
        <w:ind w:left="0" w:leftChars="0"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邮箱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instrText xml:space="preserve"> HYPERLINK "mailto:278617053@qq.com"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eastAsia="zh-CN"/>
        </w:rPr>
        <w:t>278617053@qq.com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fldChar w:fldCharType="end"/>
      </w:r>
    </w:p>
    <w:p w14:paraId="17178C67">
      <w:pPr>
        <w:spacing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44A29D6">
      <w:pPr>
        <w:spacing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962F2ED">
      <w:pPr>
        <w:spacing w:line="560" w:lineRule="exact"/>
        <w:ind w:left="0" w:leftChars="0" w:firstLine="6020" w:firstLineChars="2150"/>
        <w:rPr>
          <w:rFonts w:hint="eastAsia" w:ascii="方正仿宋_GBK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教育科学学院</w:t>
      </w:r>
    </w:p>
    <w:p w14:paraId="46043551">
      <w:pPr>
        <w:spacing w:line="560" w:lineRule="exact"/>
        <w:ind w:left="0" w:leftChars="0" w:firstLine="6020" w:firstLineChars="2150"/>
        <w:rPr>
          <w:rFonts w:hint="default" w:ascii="方正仿宋_GBK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2026年3月19日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9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53F4"/>
    <w:rsid w:val="0004344A"/>
    <w:rsid w:val="003C315A"/>
    <w:rsid w:val="004151E2"/>
    <w:rsid w:val="00575A91"/>
    <w:rsid w:val="00B15071"/>
    <w:rsid w:val="00D33806"/>
    <w:rsid w:val="00EB1C3B"/>
    <w:rsid w:val="0C1253F4"/>
    <w:rsid w:val="1291490A"/>
    <w:rsid w:val="15883A78"/>
    <w:rsid w:val="42F336EA"/>
    <w:rsid w:val="4F46700B"/>
    <w:rsid w:val="688651C2"/>
    <w:rsid w:val="70B51F79"/>
    <w:rsid w:val="71BE20E3"/>
    <w:rsid w:val="72E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annotation reference"/>
    <w:basedOn w:val="7"/>
    <w:qFormat/>
    <w:uiPriority w:val="0"/>
    <w:rPr>
      <w:sz w:val="21"/>
      <w:szCs w:val="21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1653</Words>
  <Characters>1760</Characters>
  <Lines>12</Lines>
  <Paragraphs>3</Paragraphs>
  <TotalTime>6</TotalTime>
  <ScaleCrop>false</ScaleCrop>
  <LinksUpToDate>false</LinksUpToDate>
  <CharactersWithSpaces>1760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2026-03-16T09:06:00Z</dcterms:created>
  <dc:creator>袁冰</dc:creator>
  <cp:lastModifiedBy>花舞花飞</cp:lastModifiedBy>
  <dcterms:modified xsi:type="dcterms:W3CDTF">2026-03-20T07:05:17Z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CDF23DCE6EF74F058C035157E708C3B2_13</vt:lpwstr>
  </property>
  <property fmtid="{D5CDD505-2E9C-101B-9397-08002B2CF9AE}" pid="4" name="KSOTemplateDocerSaveRecord">
    <vt:lpwstr>eyJoZGlkIjoiZjkwY2Q5MGVkOTM0ZGY1YzA2MmM4MTg1OGRlZDM1N2YiLCJ1c2VySWQiOiI2NzAwOTk2MzIifQ==</vt:lpwstr>
  </property>
</Properties>
</file>