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33277">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660" w:lineRule="exact"/>
        <w:ind w:right="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36"/>
          <w:szCs w:val="36"/>
          <w:shd w:val="clear" w:fill="FFFFFF"/>
          <w:lang w:val="en-US" w:eastAsia="zh-CN"/>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36"/>
          <w:szCs w:val="36"/>
          <w:shd w:val="clear" w:fill="FFFFFF"/>
          <w:lang w:val="en-US" w:eastAsia="zh-CN"/>
          <w14:textFill>
            <w14:solidFill>
              <w14:schemeClr w14:val="tx1"/>
            </w14:solidFill>
          </w14:textFill>
        </w:rPr>
        <w:t>田家炳优秀师范生奖学金</w:t>
      </w:r>
      <w:r>
        <w:rPr>
          <w:rFonts w:hint="eastAsia" w:ascii="方正公文小标宋" w:hAnsi="方正公文小标宋" w:eastAsia="方正公文小标宋" w:cs="方正公文小标宋"/>
          <w:b w:val="0"/>
          <w:bCs w:val="0"/>
          <w:i w:val="0"/>
          <w:iCs w:val="0"/>
          <w:caps w:val="0"/>
          <w:color w:val="000000" w:themeColor="text1"/>
          <w:spacing w:val="0"/>
          <w:sz w:val="36"/>
          <w:szCs w:val="36"/>
          <w:shd w:val="clear" w:fill="FFFFFF"/>
          <w:lang w:val="en-US" w:eastAsia="zh-CN"/>
          <w14:textFill>
            <w14:solidFill>
              <w14:schemeClr w14:val="tx1"/>
            </w14:solidFill>
          </w14:textFill>
        </w:rPr>
        <w:t>参评条件</w:t>
      </w:r>
    </w:p>
    <w:p w14:paraId="043381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right="0"/>
        <w:jc w:val="both"/>
        <w:textAlignment w:val="auto"/>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基本条件：</w:t>
      </w:r>
    </w:p>
    <w:p w14:paraId="02E473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1、</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本科生</w:t>
      </w: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达到国家学生体质健康标准要求（</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免测或合格及以上）</w:t>
      </w: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w:t>
      </w:r>
    </w:p>
    <w:p w14:paraId="45E3D0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2、申请奖学金时已获中小幼、特殊学校等各类学校的应聘录取并完成签约；</w:t>
      </w:r>
    </w:p>
    <w:p w14:paraId="4EDEC8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3、所有课程</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无</w:t>
      </w: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不及格或重修记录；</w:t>
      </w:r>
    </w:p>
    <w:p w14:paraId="77AB96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default"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4、</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申请“田家炳优秀师范生奖学金”的同学在同一</w:t>
      </w:r>
      <w:r>
        <w:rPr>
          <w:rFonts w:hint="eastAsia" w:ascii="Times New Roman" w:hAnsi="Times New Roman" w:eastAsia="仿宋_GB2312" w:cs="方正仿宋_GB2312"/>
          <w:i w:val="0"/>
          <w:iCs w:val="0"/>
          <w:caps w:val="0"/>
          <w:color w:val="auto"/>
          <w:spacing w:val="0"/>
          <w:sz w:val="32"/>
          <w:szCs w:val="32"/>
          <w:shd w:val="clear" w:fill="FFFFFF"/>
          <w:lang w:val="en-US" w:eastAsia="zh-CN"/>
        </w:rPr>
        <w:t>学期内不得</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同时获得其他社会类师范生奖学金。</w:t>
      </w:r>
    </w:p>
    <w:p w14:paraId="2C8AA5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right="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申报</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一等奖</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还需满足同时以下</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条件</w:t>
      </w: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w:t>
      </w:r>
    </w:p>
    <w:p w14:paraId="109EA9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1、</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入学以来平均学分绩点在本年级本专业排名前15%；</w:t>
      </w:r>
    </w:p>
    <w:p w14:paraId="22013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2、</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入学以来综合素质评价在本年级本专业排名前15%；</w:t>
      </w:r>
    </w:p>
    <w:p w14:paraId="7035EC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3、</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在师范生技能竞赛中获得省级以</w:t>
      </w:r>
      <w:bookmarkStart w:id="0" w:name="_GoBack"/>
      <w:bookmarkEnd w:id="0"/>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上奖励或专注于教育教学研究，在省级以上刊物发表相关学术论文或编写出版编著、译著和专著。</w:t>
      </w:r>
    </w:p>
    <w:p w14:paraId="453DBD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right="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申报二</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等奖</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还需满足同时以下</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条件</w:t>
      </w: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w:t>
      </w:r>
    </w:p>
    <w:p w14:paraId="17C6DF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1、</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入学以来平均学分绩点在本年级本专业排名前25%；</w:t>
      </w:r>
    </w:p>
    <w:p w14:paraId="6ABFA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2、</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入学以来综合素质评价在本年级本专业排名前25%；</w:t>
      </w:r>
    </w:p>
    <w:p w14:paraId="37F0FC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3、</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在师范生技能竞赛中获得校级以上奖励或专注于教育教学研究，在省级以上刊物发表相关学术论文或编写出版编著、译著和专著。</w:t>
      </w:r>
    </w:p>
    <w:p w14:paraId="439F01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right="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申报三</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等奖</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还需满足同时以下</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条件</w:t>
      </w: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w:t>
      </w:r>
    </w:p>
    <w:p w14:paraId="7E2318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1、</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入学以来平均学分绩点在本年级本专业排名前40%；</w:t>
      </w:r>
    </w:p>
    <w:p w14:paraId="73B775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2、</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入学以来综合素质评价在本年级本专业排名前40%；</w:t>
      </w:r>
    </w:p>
    <w:p w14:paraId="29C9C1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3、</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在师范生技能竞赛中获得校级以上奖励或专注于教育教学研究，在省级以上刊物发表相关学术论文或编写出版编著、译著和专著。</w:t>
      </w:r>
    </w:p>
    <w:p w14:paraId="06AB5B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right="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同等条件下优先考虑</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满足以下一项或多项者：</w:t>
      </w:r>
    </w:p>
    <w:p w14:paraId="1F0597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1、</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参与基层顶岗实习的学生或获得优秀实习生的学生；</w:t>
      </w:r>
    </w:p>
    <w:p w14:paraId="3F3A28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2、</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关心乡村教育，签约到偏远地区就业的学生；</w:t>
      </w:r>
    </w:p>
    <w:p w14:paraId="5AC258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3、</w:t>
      </w:r>
      <w:r>
        <w:rPr>
          <w:rFonts w:hint="eastAsia" w:ascii="Times New Roman" w:hAnsi="Times New Roman" w:eastAsia="仿宋_GB2312" w:cs="方正仿宋_GB2312"/>
          <w:i w:val="0"/>
          <w:iCs w:val="0"/>
          <w:caps w:val="0"/>
          <w:color w:val="000000" w:themeColor="text1"/>
          <w:spacing w:val="0"/>
          <w:sz w:val="32"/>
          <w:szCs w:val="32"/>
          <w:shd w:val="clear" w:fill="FFFFFF"/>
          <w14:textFill>
            <w14:solidFill>
              <w14:schemeClr w14:val="tx1"/>
            </w14:solidFill>
          </w14:textFill>
        </w:rPr>
        <w:t>家庭经济特别困难的学生。</w:t>
      </w:r>
    </w:p>
    <w:p w14:paraId="05A83940">
      <w:pP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br w:type="page"/>
      </w:r>
    </w:p>
    <w:p w14:paraId="289A2334">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660" w:lineRule="exact"/>
        <w:ind w:right="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36"/>
          <w:szCs w:val="36"/>
          <w:shd w:val="clear" w:fill="FFFFFF"/>
          <w:lang w:val="en-US" w:eastAsia="zh-CN"/>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36"/>
          <w:szCs w:val="36"/>
          <w:shd w:val="clear" w:fill="FFFFFF"/>
          <w:lang w:val="en-US" w:eastAsia="zh-CN"/>
          <w14:textFill>
            <w14:solidFill>
              <w14:schemeClr w14:val="tx1"/>
            </w14:solidFill>
          </w14:textFill>
        </w:rPr>
        <w:t>吴颖民教育基金优秀师范生奖学金参评条件</w:t>
      </w:r>
    </w:p>
    <w:p w14:paraId="3ACB0F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1、</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本科生</w:t>
      </w: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达到国家学生体质健康标准要求（</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免测或合格及以上）</w:t>
      </w: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w:t>
      </w:r>
    </w:p>
    <w:p w14:paraId="004B84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2、所有课程</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无</w:t>
      </w: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不及格或重修记录；</w:t>
      </w:r>
    </w:p>
    <w:p w14:paraId="4D1F02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3、</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在第十一届“田家炳杯”全国师范院校师范生教学技能竞赛国赛决赛或2025年“田家炳杯”全日制教育硕士专业学位研究生教学技能大赛国赛决赛中获奖；</w:t>
      </w:r>
    </w:p>
    <w:p w14:paraId="6605DB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4、</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参评竞赛成果已获得研究生院实践成果奖或其他社会类奖学金的学生不能用相同成果重复申报。</w:t>
      </w:r>
    </w:p>
    <w:p w14:paraId="154DA2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p>
    <w:p w14:paraId="31BC9F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注：</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获第十一届“田家炳杯”全国师范院校师范生教学技能竞赛国赛决赛、2025年“田家炳杯”全日制教育硕士专业学位研究生教学技能大赛国赛决赛一等奖，可申报“师范技能卓越奖”一等奖；获第十一届“田家炳杯”全国师范院校师范生教学技能竞赛国赛决赛、2025年“田家炳杯”全日制教育硕士专业学位研究生教学技能大赛国赛决赛二等奖，可申报“师范技能卓越奖”二等奖，依此类推。</w:t>
      </w:r>
    </w:p>
    <w:p w14:paraId="78E5B9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default"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p>
    <w:p w14:paraId="38EB75AB">
      <w:pP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br w:type="page"/>
      </w:r>
    </w:p>
    <w:p w14:paraId="12B68526">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660" w:lineRule="exact"/>
        <w:ind w:right="0"/>
        <w:jc w:val="center"/>
        <w:textAlignment w:val="auto"/>
        <w:rPr>
          <w:rFonts w:hint="default" w:ascii="方正公文小标宋" w:hAnsi="方正公文小标宋" w:eastAsia="方正公文小标宋" w:cs="方正公文小标宋"/>
          <w:b w:val="0"/>
          <w:bCs w:val="0"/>
          <w:i w:val="0"/>
          <w:iCs w:val="0"/>
          <w:caps w:val="0"/>
          <w:color w:val="000000" w:themeColor="text1"/>
          <w:spacing w:val="0"/>
          <w:sz w:val="36"/>
          <w:szCs w:val="36"/>
          <w:shd w:val="clear" w:fill="FFFFFF"/>
          <w:lang w:val="en-US" w:eastAsia="zh-CN"/>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36"/>
          <w:szCs w:val="36"/>
          <w:shd w:val="clear" w:fill="FFFFFF"/>
          <w:lang w:val="en-US" w:eastAsia="zh-CN"/>
          <w14:textFill>
            <w14:solidFill>
              <w14:schemeClr w14:val="tx1"/>
            </w14:solidFill>
          </w14:textFill>
        </w:rPr>
        <w:t>曾永裕奖学金参评条件</w:t>
      </w:r>
    </w:p>
    <w:p w14:paraId="72C9AD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1、</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单科学习成绩不低于70分（含外语），主要课程平均成绩不低于80分。硕士研究生计算平均分数的课程为8门（学位课程5～６门，选修课程2～3门），博士研究生计算平均分数的课程为5门</w:t>
      </w: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w:t>
      </w:r>
    </w:p>
    <w:p w14:paraId="615179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2、所有课程</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无</w:t>
      </w: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不及格或重修记录；</w:t>
      </w:r>
    </w:p>
    <w:p w14:paraId="39D2CA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3、</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在校期间未受纪律处分，无欠缴学费、住宿费情况；</w:t>
      </w:r>
    </w:p>
    <w:p w14:paraId="50194E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4、具备下列条件之一：（1） 获一等奖研究生学业奖学金。（2）获二等奖以上（含二等奖）研究生学业奖学金，且获得校级以上（含校级）“优秀党支部书记”“优秀共青团干部”“优秀共青团员”“优秀研究生骨干”等荣誉称号。（3） 积极响应国家号召献身国防事业或自愿到西部、艰苦边远地区就业的毕业生。（4）在校期间，获“五一劳动奖章”“三八红旗手”“青年五四奖章”“大学生年度人物（含提名奖）”、入选国家奖学金获奖学生代表名录、“优秀学生干部”“优秀共产党员”“优秀共青团员”“优秀共青团干部”“百佳团支部书记”“中国青少年科技创新奖”“中国大学生自强之星”全国性荣誉称号者或获得“挑战杯”全国大学生课外学术科技作品竞赛、“挑战杯”中国大学生创业计划大赛和中国国际大学生创新大赛国家级最高等级奖项的项目负责人。</w:t>
      </w:r>
    </w:p>
    <w:p w14:paraId="4E0817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p>
    <w:p w14:paraId="217E6B5C">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7" w:afterLines="50" w:afterAutospacing="0" w:line="660" w:lineRule="exact"/>
        <w:ind w:right="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36"/>
          <w:szCs w:val="36"/>
          <w:shd w:val="clear" w:fill="FFFFFF"/>
          <w:lang w:val="en-US" w:eastAsia="zh-CN"/>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36"/>
          <w:szCs w:val="36"/>
          <w:shd w:val="clear" w:fill="FFFFFF"/>
          <w:lang w:val="en-US" w:eastAsia="zh-CN"/>
          <w14:textFill>
            <w14:solidFill>
              <w14:schemeClr w14:val="tx1"/>
            </w14:solidFill>
          </w14:textFill>
        </w:rPr>
        <w:t>“翰墨华章”奖学金暨书法比赛参赛要求</w:t>
      </w:r>
    </w:p>
    <w:p w14:paraId="5AD347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right="0"/>
        <w:jc w:val="both"/>
        <w:textAlignment w:val="auto"/>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比赛分为硬笔书法和软笔书法两类，具体要求如下：</w:t>
      </w:r>
    </w:p>
    <w:p w14:paraId="38DFC3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1、硬笔书法作品统一用A3纸。作品内容与优秀传统文化经典作品相关，正文字数不少于100字。作者可根据作品内容设计版面，可打空方格或画行线，具体规格由作者自定。钢笔或签字笔书写，纵向成行，作品横式或竖式均可。</w:t>
      </w:r>
    </w:p>
    <w:p w14:paraId="208C8D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2、</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软笔书法作品形式不限，内容与优秀传统文化经典作品相关，字体不限，中堂、条幅、对联、斗方、扇面等均可选择，限定在4尺宣纸内完成。</w:t>
      </w:r>
    </w:p>
    <w:p w14:paraId="78BC79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eastAsia="zh-CN"/>
          <w14:textFill>
            <w14:solidFill>
              <w14:schemeClr w14:val="tx1"/>
            </w14:solidFill>
          </w14:textFill>
        </w:rPr>
        <w:t>3、</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所有作品上必须</w:t>
      </w:r>
      <w:r>
        <w:rPr>
          <w:rFonts w:hint="eastAsia" w:ascii="Times New Roman" w:hAnsi="Times New Roman" w:eastAsia="仿宋_GB2312" w:cs="方正仿宋_GB2312"/>
          <w:b/>
          <w:bCs/>
          <w:i w:val="0"/>
          <w:iCs w:val="0"/>
          <w:caps w:val="0"/>
          <w:color w:val="000000" w:themeColor="text1"/>
          <w:spacing w:val="0"/>
          <w:sz w:val="32"/>
          <w:szCs w:val="32"/>
          <w:shd w:val="clear" w:fill="FFFFFF"/>
          <w:lang w:val="en-US" w:eastAsia="zh-CN"/>
          <w14:textFill>
            <w14:solidFill>
              <w14:schemeClr w14:val="tx1"/>
            </w14:solidFill>
          </w14:textFill>
        </w:rPr>
        <w:t>加盖印章和署名，并在作品背后写上学院、姓名、作品名称和联系电话</w:t>
      </w: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，否则一律不予参评。</w:t>
      </w:r>
    </w:p>
    <w:p w14:paraId="44B8C1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4、录制作品创作过程和作品完成后作者与作品的合影视频一段，时长控制在1分钟内，</w:t>
      </w:r>
      <w:r>
        <w:rPr>
          <w:rFonts w:hint="eastAsia" w:ascii="Times New Roman" w:hAnsi="Times New Roman" w:eastAsia="仿宋_GB2312" w:cs="方正仿宋_GB2312"/>
          <w:b/>
          <w:bCs/>
          <w:i w:val="0"/>
          <w:iCs w:val="0"/>
          <w:caps w:val="0"/>
          <w:color w:val="000000" w:themeColor="text1"/>
          <w:spacing w:val="0"/>
          <w:sz w:val="32"/>
          <w:szCs w:val="32"/>
          <w:shd w:val="clear" w:fill="FFFFFF"/>
          <w:lang w:val="en-US" w:eastAsia="zh-CN"/>
          <w14:textFill>
            <w14:solidFill>
              <w14:schemeClr w14:val="tx1"/>
            </w14:solidFill>
          </w14:textFill>
        </w:rPr>
        <w:t>若作品获奖将另行通知提交。</w:t>
      </w:r>
    </w:p>
    <w:p w14:paraId="4EE834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t>5、上一（两）届比赛已获一等奖的作者不再参加本届比赛。</w:t>
      </w:r>
    </w:p>
    <w:p w14:paraId="3F4585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right="0"/>
        <w:jc w:val="both"/>
        <w:textAlignment w:val="auto"/>
        <w:rPr>
          <w:rFonts w:hint="eastAsia" w:ascii="Times New Roman" w:hAnsi="Times New Roman" w:eastAsia="仿宋_GB2312" w:cs="方正仿宋_GB2312"/>
          <w:i w:val="0"/>
          <w:iCs w:val="0"/>
          <w:caps w:val="0"/>
          <w:color w:val="000000" w:themeColor="text1"/>
          <w:spacing w:val="0"/>
          <w:sz w:val="32"/>
          <w:szCs w:val="32"/>
          <w:shd w:val="clear" w:fill="FFFFFF"/>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7A77BF-62EC-4A7F-9E4F-F030A8B9BE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embedRegular r:id="rId2" w:fontKey="{F3180FAB-27E8-4533-BD52-F6F64641B477}"/>
  </w:font>
  <w:font w:name="仿宋_GB2312">
    <w:panose1 w:val="02010609030101010101"/>
    <w:charset w:val="86"/>
    <w:family w:val="auto"/>
    <w:pitch w:val="default"/>
    <w:sig w:usb0="00000001" w:usb1="080E0000" w:usb2="00000000" w:usb3="00000000" w:csb0="00040000" w:csb1="00000000"/>
    <w:embedRegular r:id="rId3" w:fontKey="{5CE92ECC-018C-48F4-A394-F61415A957AA}"/>
  </w:font>
  <w:font w:name="方正仿宋_GB2312">
    <w:panose1 w:val="02000000000000000000"/>
    <w:charset w:val="86"/>
    <w:family w:val="auto"/>
    <w:pitch w:val="default"/>
    <w:sig w:usb0="A00002BF" w:usb1="184F6CFA" w:usb2="00000012" w:usb3="00000000" w:csb0="00040001" w:csb1="00000000"/>
    <w:embedRegular r:id="rId4" w:fontKey="{1FAA6538-6B12-41A0-AE31-FFE8ECC22F6E}"/>
  </w:font>
  <w:font w:name="方正公文小标宋">
    <w:panose1 w:val="02000500000000000000"/>
    <w:charset w:val="86"/>
    <w:family w:val="auto"/>
    <w:pitch w:val="default"/>
    <w:sig w:usb0="A00002BF" w:usb1="38CF7CFA" w:usb2="00000016" w:usb3="00000000" w:csb0="00040001" w:csb1="00000000"/>
    <w:embedRegular r:id="rId5" w:fontKey="{8DAC674A-D0EB-4CFF-8668-FD6538E026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C74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4BE95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44BE95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B7E9A"/>
    <w:multiLevelType w:val="singleLevel"/>
    <w:tmpl w:val="548B7E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C6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2026-03-26T01:30:41Z</dcterms:created>
  <dc:creator>Fang</dc:creator>
  <cp:lastModifiedBy>Fang</cp:lastModifiedBy>
  <dcterms:modified xsi:type="dcterms:W3CDTF">2026-03-26T01:43:20Z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eyJoZGlkIjoiNjY5OWUwNDNhYWM5MzlhYzI3MTUyODMzMmZkNzQ2MjciLCJ1c2VySWQiOiI0MTIzMjY2NTQifQ==</vt:lpwstr>
  </property>
  <property fmtid="{D5CDD505-2E9C-101B-9397-08002B2CF9AE}" pid="4" name="ICV">
    <vt:lpwstr>A045A5D38D4545DB94312176CD5B0DFE_12</vt:lpwstr>
  </property>
</Properties>
</file>