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1E1AA2">
      <w:pPr>
        <w:keepNext w:val="0"/>
        <w:keepLines w:val="0"/>
        <w:pageBreakBefore w:val="0"/>
        <w:widowControl w:val="0"/>
        <w:tabs>
          <w:tab w:val="left" w:pos="0"/>
          <w:tab w:val="left" w:pos="1418"/>
        </w:tabs>
        <w:kinsoku/>
        <w:wordWrap/>
        <w:overflowPunct/>
        <w:topLinePunct w:val="0"/>
        <w:autoSpaceDE/>
        <w:autoSpaceDN/>
        <w:bidi w:val="0"/>
        <w:adjustRightInd/>
        <w:snapToGrid/>
        <w:spacing w:before="0" w:beforeLines="0" w:after="120" w:afterLines="50" w:line="360" w:lineRule="auto"/>
        <w:ind w:left="0" w:leftChars="0" w:firstLine="0" w:firstLineChars="0"/>
        <w:jc w:val="center"/>
        <w:textAlignment w:val="auto"/>
        <w:rPr>
          <w:rFonts w:hint="eastAsia" w:ascii="方正小标宋简体" w:hAnsi="方正小标宋简体" w:eastAsia="方正小标宋简体" w:cs="方正小标宋简体"/>
          <w:b/>
          <w:snapToGrid/>
          <w:kern w:val="2"/>
          <w:sz w:val="44"/>
          <w:szCs w:val="44"/>
          <w:highlight w:val="none"/>
          <w:lang w:eastAsia="zh-CN"/>
        </w:rPr>
      </w:pPr>
      <w:r>
        <w:rPr>
          <w:rFonts w:hint="eastAsia" w:ascii="方正小标宋简体" w:hAnsi="方正小标宋简体" w:eastAsia="方正小标宋简体" w:cs="方正小标宋简体"/>
          <w:b/>
          <w:snapToGrid/>
          <w:kern w:val="2"/>
          <w:sz w:val="44"/>
          <w:szCs w:val="44"/>
          <w:highlight w:val="none"/>
          <w:lang w:eastAsia="zh-CN"/>
        </w:rPr>
        <w:t>华南师范大学教育科学学院</w:t>
      </w:r>
    </w:p>
    <w:p w14:paraId="16682D70">
      <w:pPr>
        <w:keepNext w:val="0"/>
        <w:keepLines w:val="0"/>
        <w:pageBreakBefore w:val="0"/>
        <w:widowControl w:val="0"/>
        <w:tabs>
          <w:tab w:val="left" w:pos="0"/>
          <w:tab w:val="left" w:pos="1418"/>
        </w:tabs>
        <w:kinsoku/>
        <w:wordWrap/>
        <w:overflowPunct/>
        <w:topLinePunct w:val="0"/>
        <w:autoSpaceDE/>
        <w:autoSpaceDN/>
        <w:bidi w:val="0"/>
        <w:adjustRightInd/>
        <w:snapToGrid/>
        <w:spacing w:before="0" w:beforeLines="0" w:after="120" w:afterLines="50" w:line="360" w:lineRule="auto"/>
        <w:ind w:left="0" w:leftChars="0" w:firstLine="0" w:firstLineChars="0"/>
        <w:jc w:val="center"/>
        <w:textAlignment w:val="auto"/>
        <w:rPr>
          <w:rFonts w:hint="eastAsia" w:ascii="方正小标宋简体" w:hAnsi="方正小标宋简体" w:eastAsia="方正小标宋简体" w:cs="方正小标宋简体"/>
          <w:b/>
          <w:snapToGrid/>
          <w:kern w:val="2"/>
          <w:sz w:val="44"/>
          <w:szCs w:val="44"/>
          <w:highlight w:val="none"/>
          <w:lang w:eastAsia="zh-CN"/>
        </w:rPr>
      </w:pPr>
      <w:r>
        <w:rPr>
          <w:rFonts w:hint="eastAsia" w:ascii="方正小标宋简体" w:hAnsi="方正小标宋简体" w:eastAsia="方正小标宋简体" w:cs="方正小标宋简体"/>
          <w:b/>
          <w:snapToGrid/>
          <w:kern w:val="2"/>
          <w:sz w:val="44"/>
          <w:szCs w:val="44"/>
          <w:highlight w:val="none"/>
          <w:lang w:val="en-US" w:eastAsia="zh-CN"/>
        </w:rPr>
        <w:t>全日制本科生</w:t>
      </w:r>
      <w:r>
        <w:rPr>
          <w:rFonts w:hint="eastAsia" w:ascii="方正小标宋简体" w:hAnsi="方正小标宋简体" w:eastAsia="方正小标宋简体" w:cs="方正小标宋简体"/>
          <w:b/>
          <w:snapToGrid/>
          <w:kern w:val="2"/>
          <w:sz w:val="44"/>
          <w:szCs w:val="44"/>
          <w:highlight w:val="none"/>
          <w:lang w:eastAsia="zh-CN"/>
        </w:rPr>
        <w:t>综合素质评价</w:t>
      </w:r>
      <w:r>
        <w:rPr>
          <w:rFonts w:hint="eastAsia" w:ascii="方正小标宋简体" w:hAnsi="方正小标宋简体" w:eastAsia="方正小标宋简体" w:cs="方正小标宋简体"/>
          <w:b/>
          <w:snapToGrid/>
          <w:kern w:val="2"/>
          <w:sz w:val="44"/>
          <w:szCs w:val="44"/>
          <w:highlight w:val="none"/>
          <w:lang w:val="en-US" w:eastAsia="zh-CN"/>
        </w:rPr>
        <w:t>细则</w:t>
      </w:r>
    </w:p>
    <w:p w14:paraId="7C475AC4">
      <w:pPr>
        <w:pStyle w:val="2"/>
        <w:bidi w:val="0"/>
        <w:spacing w:line="360" w:lineRule="auto"/>
        <w:ind w:left="0" w:leftChars="0" w:firstLine="640" w:firstLineChars="200"/>
        <w:jc w:val="center"/>
        <w:rPr>
          <w:rFonts w:ascii="Arial"/>
          <w:sz w:val="32"/>
          <w:szCs w:val="32"/>
          <w:highlight w:val="none"/>
        </w:rPr>
      </w:pPr>
      <w:r>
        <w:rPr>
          <w:sz w:val="32"/>
          <w:szCs w:val="32"/>
          <w:highlight w:val="none"/>
        </w:rPr>
        <w:t>第一章</w:t>
      </w:r>
      <w:r>
        <w:rPr>
          <w:rFonts w:hint="eastAsia"/>
          <w:sz w:val="32"/>
          <w:szCs w:val="32"/>
          <w:highlight w:val="none"/>
          <w:lang w:val="en-US" w:eastAsia="zh-CN"/>
        </w:rPr>
        <w:t xml:space="preserve"> </w:t>
      </w:r>
      <w:r>
        <w:rPr>
          <w:sz w:val="32"/>
          <w:szCs w:val="32"/>
          <w:highlight w:val="none"/>
        </w:rPr>
        <w:t>总则</w:t>
      </w:r>
    </w:p>
    <w:p w14:paraId="2E4E5FD3">
      <w:pPr>
        <w:pStyle w:val="4"/>
        <w:keepNext w:val="0"/>
        <w:keepLines w:val="0"/>
        <w:pageBreakBefore w:val="0"/>
        <w:widowControl/>
        <w:kinsoku w:val="0"/>
        <w:wordWrap/>
        <w:overflowPunct/>
        <w:topLinePunct w:val="0"/>
        <w:autoSpaceDE w:val="0"/>
        <w:autoSpaceDN w:val="0"/>
        <w:bidi w:val="0"/>
        <w:adjustRightInd w:val="0"/>
        <w:snapToGrid w:val="0"/>
        <w:spacing w:line="360" w:lineRule="auto"/>
        <w:ind w:right="0" w:firstLine="640" w:firstLineChars="200"/>
        <w:textAlignment w:val="baseline"/>
        <w:rPr>
          <w:highlight w:val="none"/>
        </w:rPr>
      </w:pPr>
      <w:r>
        <w:rPr>
          <w:rStyle w:val="13"/>
          <w:highlight w:val="none"/>
          <w:lang w:val="en-US" w:eastAsia="zh-CN"/>
        </w:rPr>
        <w:t>第一条</w:t>
      </w:r>
      <w:r>
        <w:rPr>
          <w:rStyle w:val="13"/>
          <w:rFonts w:hint="eastAsia"/>
          <w:highlight w:val="none"/>
          <w:lang w:val="en-US" w:eastAsia="zh-CN"/>
        </w:rPr>
        <w:t xml:space="preserve"> </w:t>
      </w:r>
      <w:r>
        <w:rPr>
          <w:highlight w:val="none"/>
        </w:rPr>
        <w:t>根据</w:t>
      </w:r>
      <w:r>
        <w:rPr>
          <w:rFonts w:ascii="方正仿宋_GB2312" w:hAnsi="宋体" w:eastAsia="方正仿宋_GB2312" w:cs="方正仿宋_GB2312"/>
          <w:i w:val="0"/>
          <w:iCs w:val="0"/>
          <w:caps w:val="0"/>
          <w:color w:val="3F464C"/>
          <w:spacing w:val="0"/>
          <w:sz w:val="31"/>
          <w:szCs w:val="31"/>
          <w:highlight w:val="none"/>
          <w:shd w:val="clear" w:fill="FFFFFF"/>
        </w:rPr>
        <w:t>《华南师范大学全日制学生奖助工作实施办法》（华师〔</w:t>
      </w:r>
      <w:r>
        <w:rPr>
          <w:rFonts w:hint="eastAsia" w:ascii="方正仿宋_GB2312" w:hAnsi="宋体" w:eastAsia="方正仿宋_GB2312" w:cs="方正仿宋_GB2312"/>
          <w:i w:val="0"/>
          <w:iCs w:val="0"/>
          <w:caps w:val="0"/>
          <w:color w:val="3F464C"/>
          <w:spacing w:val="0"/>
          <w:sz w:val="31"/>
          <w:szCs w:val="31"/>
          <w:highlight w:val="none"/>
          <w:shd w:val="clear" w:fill="FFFFFF"/>
        </w:rPr>
        <w:t>2025〕93 号）</w:t>
      </w:r>
      <w:r>
        <w:rPr>
          <w:highlight w:val="none"/>
        </w:rPr>
        <w:t>制定本细则。</w:t>
      </w:r>
    </w:p>
    <w:p w14:paraId="0FAAA671">
      <w:pPr>
        <w:pStyle w:val="4"/>
        <w:keepNext w:val="0"/>
        <w:keepLines w:val="0"/>
        <w:pageBreakBefore w:val="0"/>
        <w:widowControl/>
        <w:kinsoku w:val="0"/>
        <w:wordWrap/>
        <w:overflowPunct/>
        <w:topLinePunct w:val="0"/>
        <w:autoSpaceDE w:val="0"/>
        <w:autoSpaceDN w:val="0"/>
        <w:bidi w:val="0"/>
        <w:adjustRightInd w:val="0"/>
        <w:snapToGrid w:val="0"/>
        <w:spacing w:line="360" w:lineRule="auto"/>
        <w:ind w:right="0" w:firstLine="640" w:firstLineChars="200"/>
        <w:jc w:val="left"/>
        <w:textAlignment w:val="baseline"/>
        <w:rPr>
          <w:highlight w:val="none"/>
        </w:rPr>
      </w:pPr>
      <w:r>
        <w:rPr>
          <w:rStyle w:val="13"/>
          <w:highlight w:val="none"/>
        </w:rPr>
        <w:t>第</w:t>
      </w:r>
      <w:r>
        <w:rPr>
          <w:rStyle w:val="13"/>
          <w:rFonts w:hint="eastAsia"/>
          <w:highlight w:val="none"/>
          <w:lang w:val="en-US"/>
        </w:rPr>
        <w:t>二</w:t>
      </w:r>
      <w:r>
        <w:rPr>
          <w:rStyle w:val="13"/>
          <w:highlight w:val="none"/>
        </w:rPr>
        <w:t>条</w:t>
      </w:r>
      <w:r>
        <w:rPr>
          <w:rStyle w:val="13"/>
          <w:rFonts w:hint="eastAsia"/>
          <w:highlight w:val="none"/>
          <w:lang w:val="en-US"/>
        </w:rPr>
        <w:t xml:space="preserve"> </w:t>
      </w:r>
      <w:r>
        <w:rPr>
          <w:rStyle w:val="15"/>
          <w:highlight w:val="none"/>
        </w:rPr>
        <w:t>本</w:t>
      </w:r>
      <w:r>
        <w:rPr>
          <w:rStyle w:val="15"/>
          <w:rFonts w:hint="eastAsia"/>
          <w:highlight w:val="none"/>
          <w:lang w:val="en-US" w:eastAsia="zh-CN"/>
        </w:rPr>
        <w:t>细则</w:t>
      </w:r>
      <w:r>
        <w:rPr>
          <w:rStyle w:val="15"/>
          <w:highlight w:val="none"/>
        </w:rPr>
        <w:t>适用于华南师范大学全日制本科学生（以下简称学生）</w:t>
      </w:r>
      <w:r>
        <w:rPr>
          <w:rStyle w:val="15"/>
          <w:rFonts w:hint="eastAsia"/>
          <w:highlight w:val="none"/>
          <w:lang w:eastAsia="zh-CN"/>
        </w:rPr>
        <w:t>。</w:t>
      </w:r>
    </w:p>
    <w:p w14:paraId="7F2EE5C2">
      <w:pPr>
        <w:pStyle w:val="4"/>
        <w:keepNext w:val="0"/>
        <w:keepLines w:val="0"/>
        <w:pageBreakBefore w:val="0"/>
        <w:widowControl/>
        <w:kinsoku w:val="0"/>
        <w:wordWrap/>
        <w:overflowPunct/>
        <w:topLinePunct w:val="0"/>
        <w:autoSpaceDE w:val="0"/>
        <w:autoSpaceDN w:val="0"/>
        <w:bidi w:val="0"/>
        <w:adjustRightInd w:val="0"/>
        <w:snapToGrid w:val="0"/>
        <w:spacing w:line="360" w:lineRule="auto"/>
        <w:ind w:right="0" w:firstLine="640" w:firstLineChars="200"/>
        <w:jc w:val="both"/>
        <w:textAlignment w:val="baseline"/>
        <w:rPr>
          <w:highlight w:val="none"/>
        </w:rPr>
      </w:pPr>
      <w:r>
        <w:rPr>
          <w:rStyle w:val="13"/>
          <w:highlight w:val="none"/>
        </w:rPr>
        <w:t>第</w:t>
      </w:r>
      <w:r>
        <w:rPr>
          <w:rStyle w:val="13"/>
          <w:rFonts w:hint="eastAsia"/>
          <w:highlight w:val="none"/>
          <w:lang w:val="en-US"/>
        </w:rPr>
        <w:t>三</w:t>
      </w:r>
      <w:r>
        <w:rPr>
          <w:rStyle w:val="13"/>
          <w:highlight w:val="none"/>
        </w:rPr>
        <w:t>条</w:t>
      </w:r>
      <w:r>
        <w:rPr>
          <w:rStyle w:val="13"/>
          <w:rFonts w:hint="eastAsia"/>
          <w:highlight w:val="none"/>
          <w:lang w:val="en-US"/>
        </w:rPr>
        <w:t xml:space="preserve"> </w:t>
      </w:r>
      <w:r>
        <w:rPr>
          <w:highlight w:val="none"/>
        </w:rPr>
        <w:t>全体学生</w:t>
      </w:r>
      <w:r>
        <w:rPr>
          <w:rFonts w:hint="eastAsia"/>
          <w:highlight w:val="none"/>
          <w:lang w:val="en-US" w:eastAsia="zh-CN"/>
        </w:rPr>
        <w:t>必</w:t>
      </w:r>
      <w:r>
        <w:rPr>
          <w:highlight w:val="none"/>
        </w:rPr>
        <w:t>须参与学生综合素质评价。本评价每学期考核一次，每学年总评一次。其中,第一、二、三学年评定工作在每年9月进行，第四学年评定工作在每年3月进行。</w:t>
      </w:r>
    </w:p>
    <w:p w14:paraId="74B89A72">
      <w:pPr>
        <w:pStyle w:val="4"/>
        <w:keepNext w:val="0"/>
        <w:keepLines w:val="0"/>
        <w:pageBreakBefore w:val="0"/>
        <w:widowControl/>
        <w:kinsoku w:val="0"/>
        <w:wordWrap/>
        <w:overflowPunct/>
        <w:topLinePunct w:val="0"/>
        <w:autoSpaceDE w:val="0"/>
        <w:autoSpaceDN w:val="0"/>
        <w:bidi w:val="0"/>
        <w:adjustRightInd w:val="0"/>
        <w:snapToGrid w:val="0"/>
        <w:spacing w:line="360" w:lineRule="auto"/>
        <w:ind w:right="0" w:firstLine="640" w:firstLineChars="200"/>
        <w:textAlignment w:val="baseline"/>
        <w:rPr>
          <w:highlight w:val="none"/>
        </w:rPr>
      </w:pPr>
      <w:r>
        <w:rPr>
          <w:rStyle w:val="13"/>
          <w:highlight w:val="none"/>
        </w:rPr>
        <w:t>第</w:t>
      </w:r>
      <w:r>
        <w:rPr>
          <w:rStyle w:val="13"/>
          <w:rFonts w:hint="eastAsia"/>
          <w:highlight w:val="none"/>
          <w:lang w:val="en-US"/>
        </w:rPr>
        <w:t>四</w:t>
      </w:r>
      <w:r>
        <w:rPr>
          <w:rStyle w:val="13"/>
          <w:highlight w:val="none"/>
        </w:rPr>
        <w:t>条</w:t>
      </w:r>
      <w:r>
        <w:rPr>
          <w:rStyle w:val="13"/>
          <w:rFonts w:hint="eastAsia"/>
          <w:highlight w:val="none"/>
          <w:lang w:val="en-US"/>
        </w:rPr>
        <w:t xml:space="preserve"> </w:t>
      </w:r>
      <w:r>
        <w:rPr>
          <w:spacing w:val="-1"/>
          <w:highlight w:val="none"/>
        </w:rPr>
        <w:t>学生在综合素质评价中应当坚持正当竞争，实事求是，遵守诚信原则，不</w:t>
      </w:r>
      <w:r>
        <w:rPr>
          <w:spacing w:val="-2"/>
          <w:highlight w:val="none"/>
        </w:rPr>
        <w:t>得弄虚作假，不得为自己或者他人谋取不正当利益。</w:t>
      </w:r>
    </w:p>
    <w:p w14:paraId="29212B60">
      <w:pPr>
        <w:pStyle w:val="4"/>
        <w:keepNext w:val="0"/>
        <w:keepLines w:val="0"/>
        <w:pageBreakBefore w:val="0"/>
        <w:widowControl/>
        <w:kinsoku w:val="0"/>
        <w:wordWrap/>
        <w:overflowPunct/>
        <w:topLinePunct w:val="0"/>
        <w:autoSpaceDE w:val="0"/>
        <w:autoSpaceDN w:val="0"/>
        <w:bidi w:val="0"/>
        <w:adjustRightInd w:val="0"/>
        <w:snapToGrid w:val="0"/>
        <w:spacing w:line="360" w:lineRule="auto"/>
        <w:ind w:right="0" w:firstLine="640" w:firstLineChars="200"/>
        <w:textAlignment w:val="baseline"/>
        <w:rPr>
          <w:highlight w:val="none"/>
        </w:rPr>
      </w:pPr>
      <w:r>
        <w:rPr>
          <w:rStyle w:val="13"/>
          <w:highlight w:val="none"/>
        </w:rPr>
        <w:t>第五条</w:t>
      </w:r>
      <w:r>
        <w:rPr>
          <w:rStyle w:val="13"/>
          <w:rFonts w:hint="eastAsia"/>
          <w:highlight w:val="none"/>
          <w:lang w:val="en-US"/>
        </w:rPr>
        <w:t xml:space="preserve"> </w:t>
      </w:r>
      <w:r>
        <w:rPr>
          <w:highlight w:val="none"/>
        </w:rPr>
        <w:t>综合素质评价结果用于该年度优秀学</w:t>
      </w:r>
      <w:r>
        <w:rPr>
          <w:spacing w:val="-1"/>
          <w:highlight w:val="none"/>
        </w:rPr>
        <w:t>生奖学金、国家奖学金、国家励志奖</w:t>
      </w:r>
      <w:r>
        <w:rPr>
          <w:spacing w:val="-6"/>
          <w:highlight w:val="none"/>
        </w:rPr>
        <w:t>学金等评选依据。</w:t>
      </w:r>
    </w:p>
    <w:p w14:paraId="1B0A5E46">
      <w:pPr>
        <w:pStyle w:val="2"/>
        <w:bidi w:val="0"/>
        <w:spacing w:line="360" w:lineRule="auto"/>
        <w:jc w:val="center"/>
        <w:rPr>
          <w:rFonts w:ascii="Arial"/>
          <w:sz w:val="21"/>
          <w:highlight w:val="none"/>
        </w:rPr>
      </w:pPr>
      <w:r>
        <w:rPr>
          <w:rFonts w:hint="eastAsia"/>
          <w:highlight w:val="none"/>
          <w:lang w:eastAsia="zh-CN"/>
        </w:rPr>
        <w:t>第二章</w:t>
      </w:r>
      <w:r>
        <w:rPr>
          <w:rFonts w:hint="eastAsia"/>
          <w:highlight w:val="none"/>
          <w:lang w:val="en-US" w:eastAsia="zh-CN"/>
        </w:rPr>
        <w:t xml:space="preserve"> </w:t>
      </w:r>
      <w:r>
        <w:rPr>
          <w:rFonts w:hint="eastAsia"/>
          <w:highlight w:val="none"/>
          <w:lang w:eastAsia="zh-CN"/>
        </w:rPr>
        <w:t>综合素质评价程序</w:t>
      </w:r>
    </w:p>
    <w:p w14:paraId="34FA41B2">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40" w:firstLineChars="200"/>
        <w:textAlignment w:val="baseline"/>
        <w:rPr>
          <w:rStyle w:val="13"/>
          <w:rFonts w:hint="default"/>
          <w:highlight w:val="none"/>
          <w:lang w:val="en-US"/>
        </w:rPr>
      </w:pPr>
      <w:r>
        <w:rPr>
          <w:rStyle w:val="13"/>
          <w:highlight w:val="none"/>
        </w:rPr>
        <w:t>第六条</w:t>
      </w:r>
      <w:r>
        <w:rPr>
          <w:rStyle w:val="13"/>
          <w:rFonts w:hint="eastAsia"/>
          <w:highlight w:val="none"/>
          <w:lang w:val="en-US"/>
        </w:rPr>
        <w:t xml:space="preserve"> 评审组织</w:t>
      </w:r>
    </w:p>
    <w:p w14:paraId="22D58DE8">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36" w:firstLineChars="200"/>
        <w:textAlignment w:val="baseline"/>
        <w:rPr>
          <w:rFonts w:hint="eastAsia"/>
          <w:spacing w:val="-1"/>
          <w:highlight w:val="none"/>
        </w:rPr>
      </w:pPr>
      <w:r>
        <w:rPr>
          <w:spacing w:val="-1"/>
          <w:highlight w:val="none"/>
        </w:rPr>
        <w:t>（一）</w:t>
      </w:r>
      <w:r>
        <w:rPr>
          <w:rFonts w:hint="eastAsia"/>
          <w:spacing w:val="-1"/>
          <w:highlight w:val="none"/>
        </w:rPr>
        <w:t>学院成立学生奖助工作小组，由学院党委书记、院长担任组长，由负责学生工作、人才培养工作的院领导担任副组长，小组成员包括学院学术分委员会主任、辅导员代表、导师代表、班主任代表和学生代表等。学院学生奖助工作小组制定学院奖助项目评选细则，遴选奖助项目评审小组成员，组织奖助项目初评工作等。</w:t>
      </w:r>
    </w:p>
    <w:p w14:paraId="327AE11D">
      <w:pPr>
        <w:pStyle w:val="4"/>
        <w:keepNext w:val="0"/>
        <w:keepLines w:val="0"/>
        <w:pageBreakBefore w:val="0"/>
        <w:widowControl/>
        <w:kinsoku w:val="0"/>
        <w:wordWrap/>
        <w:overflowPunct/>
        <w:topLinePunct w:val="0"/>
        <w:autoSpaceDE w:val="0"/>
        <w:autoSpaceDN w:val="0"/>
        <w:bidi w:val="0"/>
        <w:adjustRightInd w:val="0"/>
        <w:snapToGrid w:val="0"/>
        <w:ind w:left="0" w:right="0" w:firstLine="640" w:firstLineChars="200"/>
        <w:textAlignment w:val="baseline"/>
        <w:rPr>
          <w:rFonts w:hint="eastAsia"/>
          <w:highlight w:val="none"/>
          <w:lang w:eastAsia="zh-CN"/>
        </w:rPr>
      </w:pPr>
      <w:r>
        <w:rPr>
          <w:rFonts w:hint="eastAsia"/>
          <w:highlight w:val="none"/>
          <w:lang w:eastAsia="zh-CN"/>
        </w:rPr>
        <w:t>（</w:t>
      </w:r>
      <w:r>
        <w:rPr>
          <w:rFonts w:hint="eastAsia"/>
          <w:highlight w:val="none"/>
          <w:lang w:val="en-US" w:eastAsia="zh-CN"/>
        </w:rPr>
        <w:t>二</w:t>
      </w:r>
      <w:r>
        <w:rPr>
          <w:rFonts w:hint="eastAsia"/>
          <w:highlight w:val="none"/>
          <w:lang w:eastAsia="zh-CN"/>
        </w:rPr>
        <w:t>）</w:t>
      </w:r>
      <w:r>
        <w:rPr>
          <w:highlight w:val="none"/>
        </w:rPr>
        <w:t>学院综合素质评价领导小组。由学院副书记、副院长、学生代表和教师代表构成，学院副书记担任组长，副院长担任副组长。学院党委副书记进行指导、监督和审核，各年级辅导员负责组织实施，各系、所、室予以配合。该小组的主要职责是</w:t>
      </w:r>
      <w:r>
        <w:rPr>
          <w:rFonts w:hint="eastAsia"/>
          <w:highlight w:val="none"/>
          <w:lang w:eastAsia="zh-CN"/>
        </w:rPr>
        <w:t>：</w:t>
      </w:r>
    </w:p>
    <w:p w14:paraId="4DB28870">
      <w:pPr>
        <w:pStyle w:val="4"/>
        <w:keepNext w:val="0"/>
        <w:keepLines w:val="0"/>
        <w:pageBreakBefore w:val="0"/>
        <w:widowControl/>
        <w:kinsoku w:val="0"/>
        <w:wordWrap/>
        <w:overflowPunct/>
        <w:topLinePunct w:val="0"/>
        <w:autoSpaceDE w:val="0"/>
        <w:autoSpaceDN w:val="0"/>
        <w:bidi w:val="0"/>
        <w:adjustRightInd w:val="0"/>
        <w:snapToGrid w:val="0"/>
        <w:ind w:left="0" w:right="0" w:firstLine="640" w:firstLineChars="200"/>
        <w:textAlignment w:val="baseline"/>
        <w:rPr>
          <w:highlight w:val="none"/>
        </w:rPr>
      </w:pPr>
      <w:r>
        <w:rPr>
          <w:highlight w:val="none"/>
        </w:rPr>
        <w:t>1.制定本院学生学年综合素质评价细则或补充规定；</w:t>
      </w:r>
    </w:p>
    <w:p w14:paraId="79A67D75">
      <w:pPr>
        <w:pStyle w:val="4"/>
        <w:keepNext w:val="0"/>
        <w:keepLines w:val="0"/>
        <w:pageBreakBefore w:val="0"/>
        <w:widowControl/>
        <w:kinsoku w:val="0"/>
        <w:wordWrap/>
        <w:overflowPunct/>
        <w:topLinePunct w:val="0"/>
        <w:autoSpaceDE w:val="0"/>
        <w:autoSpaceDN w:val="0"/>
        <w:bidi w:val="0"/>
        <w:adjustRightInd w:val="0"/>
        <w:snapToGrid w:val="0"/>
        <w:ind w:left="0" w:right="0" w:firstLine="640" w:firstLineChars="200"/>
        <w:textAlignment w:val="baseline"/>
        <w:rPr>
          <w:highlight w:val="none"/>
        </w:rPr>
      </w:pPr>
      <w:r>
        <w:rPr>
          <w:highlight w:val="none"/>
        </w:rPr>
        <w:t>2.组织部署本院学生学年综合素质评价工作；</w:t>
      </w:r>
    </w:p>
    <w:p w14:paraId="0F56A630">
      <w:pPr>
        <w:pStyle w:val="4"/>
        <w:keepNext w:val="0"/>
        <w:keepLines w:val="0"/>
        <w:pageBreakBefore w:val="0"/>
        <w:widowControl/>
        <w:kinsoku w:val="0"/>
        <w:wordWrap/>
        <w:overflowPunct/>
        <w:topLinePunct w:val="0"/>
        <w:autoSpaceDE w:val="0"/>
        <w:autoSpaceDN w:val="0"/>
        <w:bidi w:val="0"/>
        <w:adjustRightInd w:val="0"/>
        <w:snapToGrid w:val="0"/>
        <w:ind w:left="0" w:right="0" w:firstLine="640" w:firstLineChars="200"/>
        <w:textAlignment w:val="baseline"/>
        <w:rPr>
          <w:highlight w:val="none"/>
        </w:rPr>
      </w:pPr>
      <w:r>
        <w:rPr>
          <w:highlight w:val="none"/>
        </w:rPr>
        <w:t>3.对各年级综合素质评价工作实施指导和监督，调查处理学年综合素质评价工作</w:t>
      </w:r>
      <w:r>
        <w:rPr>
          <w:spacing w:val="-7"/>
          <w:highlight w:val="none"/>
        </w:rPr>
        <w:t>中出现的违规与不公正现象；</w:t>
      </w:r>
    </w:p>
    <w:p w14:paraId="6A6EE22B">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28" w:firstLineChars="200"/>
        <w:textAlignment w:val="baseline"/>
        <w:rPr>
          <w:highlight w:val="none"/>
        </w:rPr>
      </w:pPr>
      <w:r>
        <w:rPr>
          <w:spacing w:val="-3"/>
          <w:highlight w:val="none"/>
        </w:rPr>
        <w:t>4.审核本院学生学年个人综合素质评价材料和报批表；</w:t>
      </w:r>
    </w:p>
    <w:p w14:paraId="575D29AE">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32" w:firstLineChars="200"/>
        <w:textAlignment w:val="baseline"/>
        <w:rPr>
          <w:highlight w:val="none"/>
        </w:rPr>
      </w:pPr>
      <w:r>
        <w:rPr>
          <w:spacing w:val="-2"/>
          <w:highlight w:val="none"/>
        </w:rPr>
        <w:t>5.做好与学生学年综合素质评价总结有关的其他工作。</w:t>
      </w:r>
    </w:p>
    <w:p w14:paraId="34B4EB97">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7"/>
        <w:textAlignment w:val="baseline"/>
        <w:rPr>
          <w:highlight w:val="none"/>
        </w:rPr>
      </w:pPr>
      <w:r>
        <w:rPr>
          <w:spacing w:val="-8"/>
          <w:highlight w:val="none"/>
        </w:rPr>
        <w:t>（</w:t>
      </w:r>
      <w:r>
        <w:rPr>
          <w:rFonts w:hint="eastAsia"/>
          <w:spacing w:val="-8"/>
          <w:highlight w:val="none"/>
          <w:lang w:val="en-US" w:eastAsia="zh-CN"/>
        </w:rPr>
        <w:t>三</w:t>
      </w:r>
      <w:r>
        <w:rPr>
          <w:spacing w:val="-8"/>
          <w:highlight w:val="none"/>
        </w:rPr>
        <w:t>）年级综合素质评价工作小组。由该年级辅导员、各班学习委员、学生代表（每</w:t>
      </w:r>
      <w:r>
        <w:rPr>
          <w:spacing w:val="-2"/>
          <w:highlight w:val="none"/>
        </w:rPr>
        <w:t>班一名）构成，组长由该年级辅导员担任。该工作小组的主要职责是：</w:t>
      </w:r>
    </w:p>
    <w:p w14:paraId="1D670F35">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24" w:firstLineChars="200"/>
        <w:textAlignment w:val="baseline"/>
        <w:rPr>
          <w:highlight w:val="none"/>
        </w:rPr>
      </w:pPr>
      <w:r>
        <w:rPr>
          <w:spacing w:val="-4"/>
          <w:highlight w:val="none"/>
        </w:rPr>
        <w:t>1．审核本年级学生的个人综合素质评价材料；</w:t>
      </w:r>
    </w:p>
    <w:p w14:paraId="729F8513">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28" w:firstLineChars="200"/>
        <w:textAlignment w:val="baseline"/>
        <w:rPr>
          <w:highlight w:val="none"/>
        </w:rPr>
      </w:pPr>
      <w:r>
        <w:rPr>
          <w:spacing w:val="-3"/>
          <w:highlight w:val="none"/>
        </w:rPr>
        <w:t>2．上报与学年综合素质评价工作有关的表格和材料；</w:t>
      </w:r>
    </w:p>
    <w:p w14:paraId="73737B34">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48" w:firstLineChars="200"/>
        <w:textAlignment w:val="baseline"/>
        <w:rPr>
          <w:highlight w:val="none"/>
        </w:rPr>
      </w:pPr>
      <w:r>
        <w:rPr>
          <w:spacing w:val="2"/>
          <w:highlight w:val="none"/>
        </w:rPr>
        <w:t>3．对学院学年综合素质评价细则进行说明和细化；对评定过程中各班出现的情况</w:t>
      </w:r>
      <w:r>
        <w:rPr>
          <w:spacing w:val="-2"/>
          <w:highlight w:val="none"/>
        </w:rPr>
        <w:t>和疑问进行征集和反馈，并做好与学年评定总结有关的其他工作。</w:t>
      </w:r>
    </w:p>
    <w:p w14:paraId="5B14C206">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2"/>
        <w:textAlignment w:val="baseline"/>
        <w:rPr>
          <w:highlight w:val="none"/>
        </w:rPr>
      </w:pPr>
      <w:r>
        <w:rPr>
          <w:spacing w:val="-1"/>
          <w:highlight w:val="none"/>
        </w:rPr>
        <w:t>（</w:t>
      </w:r>
      <w:r>
        <w:rPr>
          <w:rFonts w:hint="eastAsia"/>
          <w:spacing w:val="-1"/>
          <w:highlight w:val="none"/>
          <w:lang w:val="en-US" w:eastAsia="zh-CN"/>
        </w:rPr>
        <w:t>四</w:t>
      </w:r>
      <w:r>
        <w:rPr>
          <w:spacing w:val="-1"/>
          <w:highlight w:val="none"/>
        </w:rPr>
        <w:t>）班</w:t>
      </w:r>
      <w:r>
        <w:rPr>
          <w:rFonts w:hint="eastAsia"/>
          <w:spacing w:val="-1"/>
          <w:highlight w:val="none"/>
          <w:lang w:val="en-US" w:eastAsia="zh-CN"/>
        </w:rPr>
        <w:t>级</w:t>
      </w:r>
      <w:r>
        <w:rPr>
          <w:spacing w:val="-1"/>
          <w:highlight w:val="none"/>
        </w:rPr>
        <w:t>综合素质评价工作小组。由班长、学习委员、团支书、学生代表（各宿舍</w:t>
      </w:r>
      <w:r>
        <w:rPr>
          <w:spacing w:val="-3"/>
          <w:highlight w:val="none"/>
        </w:rPr>
        <w:t>一名）构成，组长由学习委员担任。该工作小组的主要职责是：</w:t>
      </w:r>
    </w:p>
    <w:p w14:paraId="3E8A5FD0">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20" w:firstLineChars="200"/>
        <w:textAlignment w:val="baseline"/>
        <w:rPr>
          <w:highlight w:val="none"/>
        </w:rPr>
      </w:pPr>
      <w:r>
        <w:rPr>
          <w:spacing w:val="-5"/>
          <w:highlight w:val="none"/>
        </w:rPr>
        <w:t>1.审核本班学生综合素质评价材料；</w:t>
      </w:r>
    </w:p>
    <w:p w14:paraId="55CFAB27">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28" w:firstLineChars="200"/>
        <w:textAlignment w:val="baseline"/>
        <w:rPr>
          <w:highlight w:val="none"/>
        </w:rPr>
      </w:pPr>
      <w:r>
        <w:rPr>
          <w:spacing w:val="-3"/>
          <w:highlight w:val="none"/>
        </w:rPr>
        <w:t>2.填写、上报与学年综合素质评价工作有关的表格和材料；</w:t>
      </w:r>
    </w:p>
    <w:p w14:paraId="57193664">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28" w:firstLineChars="200"/>
        <w:textAlignment w:val="baseline"/>
        <w:rPr>
          <w:highlight w:val="none"/>
        </w:rPr>
      </w:pPr>
      <w:r>
        <w:rPr>
          <w:spacing w:val="-3"/>
          <w:highlight w:val="none"/>
        </w:rPr>
        <w:t>3.向班级</w:t>
      </w:r>
      <w:r>
        <w:rPr>
          <w:rFonts w:hint="eastAsia"/>
          <w:spacing w:val="-3"/>
          <w:highlight w:val="none"/>
          <w:lang w:val="en-US" w:eastAsia="zh-CN"/>
        </w:rPr>
        <w:t>学生</w:t>
      </w:r>
      <w:r>
        <w:rPr>
          <w:spacing w:val="-3"/>
          <w:highlight w:val="none"/>
        </w:rPr>
        <w:t>做好本细则的详细解释以及和评定总结有</w:t>
      </w:r>
      <w:r>
        <w:rPr>
          <w:spacing w:val="-4"/>
          <w:highlight w:val="none"/>
        </w:rPr>
        <w:t>关的其他工作；</w:t>
      </w:r>
    </w:p>
    <w:p w14:paraId="45E14CA8">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28" w:firstLineChars="200"/>
        <w:textAlignment w:val="baseline"/>
        <w:rPr>
          <w:highlight w:val="none"/>
        </w:rPr>
      </w:pPr>
      <w:r>
        <w:rPr>
          <w:spacing w:val="-3"/>
          <w:highlight w:val="none"/>
        </w:rPr>
        <w:t>4.对不明确或有争议的加分内容进行商议后认定；</w:t>
      </w:r>
    </w:p>
    <w:p w14:paraId="72443859">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32" w:firstLineChars="200"/>
        <w:textAlignment w:val="baseline"/>
        <w:rPr>
          <w:spacing w:val="-3"/>
          <w:highlight w:val="none"/>
        </w:rPr>
      </w:pPr>
      <w:r>
        <w:rPr>
          <w:spacing w:val="-2"/>
          <w:highlight w:val="none"/>
        </w:rPr>
        <w:t>5.开展本班综合素质评价排名表公示工</w:t>
      </w:r>
      <w:r>
        <w:rPr>
          <w:spacing w:val="-3"/>
          <w:highlight w:val="none"/>
        </w:rPr>
        <w:t>作，公示期不少于12小时。</w:t>
      </w:r>
    </w:p>
    <w:p w14:paraId="569F82D6">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40" w:firstLineChars="200"/>
        <w:textAlignment w:val="baseline"/>
        <w:rPr>
          <w:highlight w:val="none"/>
        </w:rPr>
      </w:pPr>
      <w:r>
        <w:rPr>
          <w:rStyle w:val="13"/>
          <w:highlight w:val="none"/>
        </w:rPr>
        <w:t>第七条</w:t>
      </w:r>
      <w:r>
        <w:rPr>
          <w:rStyle w:val="13"/>
          <w:rFonts w:hint="eastAsia"/>
          <w:highlight w:val="none"/>
          <w:lang w:val="en-US"/>
        </w:rPr>
        <w:t xml:space="preserve"> </w:t>
      </w:r>
      <w:r>
        <w:rPr>
          <w:rStyle w:val="13"/>
          <w:highlight w:val="none"/>
        </w:rPr>
        <w:t>学年综合素质评价程序</w:t>
      </w:r>
    </w:p>
    <w:p w14:paraId="75A23DF8">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textAlignment w:val="baseline"/>
        <w:rPr>
          <w:highlight w:val="none"/>
        </w:rPr>
      </w:pPr>
      <w:r>
        <w:rPr>
          <w:spacing w:val="-5"/>
          <w:highlight w:val="none"/>
        </w:rPr>
        <w:t>（一）个人整合材料。</w:t>
      </w:r>
      <w:r>
        <w:rPr>
          <w:rFonts w:hint="eastAsia"/>
          <w:spacing w:val="-5"/>
          <w:highlight w:val="none"/>
          <w:lang w:val="en-US" w:eastAsia="zh-CN"/>
        </w:rPr>
        <w:t>学生</w:t>
      </w:r>
      <w:r>
        <w:rPr>
          <w:spacing w:val="-5"/>
          <w:highlight w:val="none"/>
        </w:rPr>
        <w:t>在规定时间内按要求如实填写《学</w:t>
      </w:r>
      <w:r>
        <w:rPr>
          <w:spacing w:val="-6"/>
          <w:highlight w:val="none"/>
        </w:rPr>
        <w:t>生学年综合测评表》，</w:t>
      </w:r>
      <w:r>
        <w:rPr>
          <w:spacing w:val="-4"/>
          <w:highlight w:val="none"/>
        </w:rPr>
        <w:t>并附上有关证明材料上交班委。</w:t>
      </w:r>
    </w:p>
    <w:p w14:paraId="02829EA8">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6"/>
        <w:jc w:val="both"/>
        <w:textAlignment w:val="baseline"/>
        <w:rPr>
          <w:highlight w:val="none"/>
        </w:rPr>
      </w:pPr>
      <w:r>
        <w:rPr>
          <w:spacing w:val="-1"/>
          <w:highlight w:val="none"/>
        </w:rPr>
        <w:t>（二）班内审核。班</w:t>
      </w:r>
      <w:r>
        <w:rPr>
          <w:rFonts w:hint="eastAsia"/>
          <w:spacing w:val="-1"/>
          <w:highlight w:val="none"/>
          <w:lang w:val="en-US" w:eastAsia="zh-CN"/>
        </w:rPr>
        <w:t>级</w:t>
      </w:r>
      <w:r>
        <w:rPr>
          <w:spacing w:val="-1"/>
          <w:highlight w:val="none"/>
        </w:rPr>
        <w:t>综合素质评价工作小组须认真负责、客观公正地审查核准每一</w:t>
      </w:r>
      <w:r>
        <w:rPr>
          <w:spacing w:val="-5"/>
          <w:highlight w:val="none"/>
        </w:rPr>
        <w:t>位</w:t>
      </w:r>
      <w:r>
        <w:rPr>
          <w:rFonts w:hint="eastAsia"/>
          <w:spacing w:val="-5"/>
          <w:highlight w:val="none"/>
          <w:lang w:val="en-US" w:eastAsia="zh-CN"/>
        </w:rPr>
        <w:t>学生</w:t>
      </w:r>
      <w:r>
        <w:rPr>
          <w:spacing w:val="-5"/>
          <w:highlight w:val="none"/>
        </w:rPr>
        <w:t>的各项加分、扣分、总分及相关的证明材料，确认无误后形</w:t>
      </w:r>
      <w:r>
        <w:rPr>
          <w:spacing w:val="-6"/>
          <w:highlight w:val="none"/>
        </w:rPr>
        <w:t>成本班排名表并在班</w:t>
      </w:r>
      <w:r>
        <w:rPr>
          <w:spacing w:val="-4"/>
          <w:highlight w:val="none"/>
        </w:rPr>
        <w:t>内公示，最终提交年级审核。</w:t>
      </w:r>
    </w:p>
    <w:p w14:paraId="31392412">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5"/>
        <w:jc w:val="both"/>
        <w:textAlignment w:val="baseline"/>
        <w:rPr>
          <w:highlight w:val="none"/>
        </w:rPr>
      </w:pPr>
      <w:r>
        <w:rPr>
          <w:spacing w:val="-1"/>
          <w:highlight w:val="none"/>
        </w:rPr>
        <w:t>（三）年级审核及公示。年级学年综合素质评价工作小组整合各个班的申报材料，</w:t>
      </w:r>
      <w:r>
        <w:rPr>
          <w:highlight w:val="none"/>
        </w:rPr>
        <w:t>并再次进行审核，发现错漏者，有权按照有</w:t>
      </w:r>
      <w:r>
        <w:rPr>
          <w:spacing w:val="-1"/>
          <w:highlight w:val="none"/>
        </w:rPr>
        <w:t>关规定予以更正或增补，确定各年级综合素</w:t>
      </w:r>
      <w:r>
        <w:rPr>
          <w:spacing w:val="-6"/>
          <w:highlight w:val="none"/>
        </w:rPr>
        <w:t>质评价排名表。</w:t>
      </w:r>
    </w:p>
    <w:p w14:paraId="4011F80D">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3"/>
        <w:jc w:val="both"/>
        <w:textAlignment w:val="baseline"/>
        <w:rPr>
          <w:highlight w:val="none"/>
        </w:rPr>
      </w:pPr>
      <w:r>
        <w:rPr>
          <w:spacing w:val="-1"/>
          <w:highlight w:val="none"/>
        </w:rPr>
        <w:t>（四）学院审查与公示。学院学年综合素质评价领导小组根据本细则审核各年级的综合素质评价排名表，并在院内进行公示，公示期为五个工作日，若无异议则由院党委</w:t>
      </w:r>
      <w:r>
        <w:rPr>
          <w:spacing w:val="-2"/>
          <w:highlight w:val="none"/>
        </w:rPr>
        <w:t>副书记签署意见、加盖学院公章后上报</w:t>
      </w:r>
      <w:r>
        <w:rPr>
          <w:rFonts w:hint="eastAsia"/>
          <w:spacing w:val="-2"/>
          <w:highlight w:val="none"/>
          <w:lang w:val="en-US" w:eastAsia="zh-CN"/>
        </w:rPr>
        <w:t>学</w:t>
      </w:r>
      <w:r>
        <w:rPr>
          <w:spacing w:val="-2"/>
          <w:highlight w:val="none"/>
        </w:rPr>
        <w:t>校学生工作部</w:t>
      </w:r>
      <w:r>
        <w:rPr>
          <w:rFonts w:hint="eastAsia"/>
          <w:spacing w:val="-2"/>
          <w:highlight w:val="none"/>
          <w:lang w:eastAsia="zh-CN"/>
        </w:rPr>
        <w:t>（</w:t>
      </w:r>
      <w:r>
        <w:rPr>
          <w:rFonts w:hint="eastAsia"/>
          <w:spacing w:val="-2"/>
          <w:highlight w:val="none"/>
          <w:lang w:val="en-US" w:eastAsia="zh-CN"/>
        </w:rPr>
        <w:t>研究生工作部）</w:t>
      </w:r>
      <w:r>
        <w:rPr>
          <w:spacing w:val="-2"/>
          <w:highlight w:val="none"/>
        </w:rPr>
        <w:t>。</w:t>
      </w:r>
    </w:p>
    <w:p w14:paraId="373DB553">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36" w:firstLineChars="200"/>
        <w:textAlignment w:val="baseline"/>
        <w:rPr>
          <w:rFonts w:ascii="Arial"/>
          <w:sz w:val="21"/>
          <w:highlight w:val="none"/>
        </w:rPr>
      </w:pPr>
      <w:r>
        <w:rPr>
          <w:spacing w:val="-1"/>
          <w:highlight w:val="none"/>
        </w:rPr>
        <w:t>（五）学校审批。最终综合素质评价排名表</w:t>
      </w:r>
      <w:r>
        <w:rPr>
          <w:spacing w:val="-2"/>
          <w:highlight w:val="none"/>
        </w:rPr>
        <w:t>由学校学生工作部</w:t>
      </w:r>
      <w:r>
        <w:rPr>
          <w:rFonts w:hint="eastAsia"/>
          <w:spacing w:val="-2"/>
          <w:highlight w:val="none"/>
          <w:lang w:eastAsia="zh-CN"/>
        </w:rPr>
        <w:t>（</w:t>
      </w:r>
      <w:r>
        <w:rPr>
          <w:rFonts w:hint="eastAsia"/>
          <w:spacing w:val="-2"/>
          <w:highlight w:val="none"/>
          <w:lang w:val="en-US" w:eastAsia="zh-CN"/>
        </w:rPr>
        <w:t>研究生工作部）</w:t>
      </w:r>
      <w:r>
        <w:rPr>
          <w:spacing w:val="-2"/>
          <w:highlight w:val="none"/>
        </w:rPr>
        <w:t>审核确定。</w:t>
      </w:r>
    </w:p>
    <w:p w14:paraId="62934376">
      <w:pPr>
        <w:pStyle w:val="2"/>
        <w:bidi w:val="0"/>
        <w:spacing w:line="360" w:lineRule="auto"/>
        <w:ind w:left="0" w:leftChars="0" w:firstLine="640" w:firstLineChars="200"/>
        <w:jc w:val="center"/>
        <w:rPr>
          <w:rFonts w:ascii="Arial"/>
          <w:sz w:val="21"/>
          <w:highlight w:val="none"/>
        </w:rPr>
      </w:pPr>
      <w:r>
        <w:rPr>
          <w:highlight w:val="none"/>
        </w:rPr>
        <w:t>第三章</w:t>
      </w:r>
      <w:r>
        <w:rPr>
          <w:rFonts w:hint="eastAsia"/>
          <w:highlight w:val="none"/>
          <w:lang w:val="en-US" w:eastAsia="zh-CN"/>
        </w:rPr>
        <w:t xml:space="preserve"> </w:t>
      </w:r>
      <w:r>
        <w:rPr>
          <w:highlight w:val="none"/>
        </w:rPr>
        <w:t>实施细则</w:t>
      </w:r>
    </w:p>
    <w:p w14:paraId="2743775E">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40" w:firstLineChars="200"/>
        <w:textAlignment w:val="baseline"/>
        <w:rPr>
          <w:highlight w:val="none"/>
        </w:rPr>
      </w:pPr>
      <w:r>
        <w:rPr>
          <w:rStyle w:val="13"/>
          <w:highlight w:val="none"/>
        </w:rPr>
        <w:t>第八条</w:t>
      </w:r>
      <w:r>
        <w:rPr>
          <w:rStyle w:val="13"/>
          <w:rFonts w:hint="eastAsia"/>
          <w:highlight w:val="none"/>
          <w:lang w:val="en-US"/>
        </w:rPr>
        <w:t xml:space="preserve"> </w:t>
      </w:r>
      <w:r>
        <w:rPr>
          <w:rStyle w:val="13"/>
          <w:highlight w:val="none"/>
        </w:rPr>
        <w:t>学年综合素质评价具体实施细则</w:t>
      </w:r>
    </w:p>
    <w:p w14:paraId="717B310F">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28" w:firstLineChars="200"/>
        <w:textAlignment w:val="baseline"/>
        <w:rPr>
          <w:rFonts w:hint="eastAsia" w:eastAsia="仿宋"/>
          <w:highlight w:val="none"/>
          <w:lang w:eastAsia="zh-CN"/>
        </w:rPr>
      </w:pPr>
      <w:r>
        <w:rPr>
          <w:spacing w:val="-3"/>
          <w:highlight w:val="none"/>
        </w:rPr>
        <w:t>学年综合素质评价由综合性评价和发展性评价两个部分组成</w:t>
      </w:r>
      <w:r>
        <w:rPr>
          <w:rFonts w:hint="eastAsia"/>
          <w:spacing w:val="-3"/>
          <w:highlight w:val="none"/>
          <w:lang w:eastAsia="zh-CN"/>
        </w:rPr>
        <w:t>：</w:t>
      </w:r>
    </w:p>
    <w:p w14:paraId="33CFFEE5">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35" w:firstLineChars="200"/>
        <w:textAlignment w:val="baseline"/>
        <w:rPr>
          <w:highlight w:val="none"/>
        </w:rPr>
      </w:pPr>
      <w:r>
        <w:rPr>
          <w:b/>
          <w:bCs/>
          <w:spacing w:val="-2"/>
          <w:highlight w:val="none"/>
          <w:u w:val="single" w:color="auto"/>
        </w:rPr>
        <w:t>第一学年：学年综合素质评价总分=本学年五大模块总分×100%</w:t>
      </w:r>
    </w:p>
    <w:p w14:paraId="57F189A8">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43" w:firstLineChars="200"/>
        <w:textAlignment w:val="baseline"/>
        <w:rPr>
          <w:highlight w:val="none"/>
        </w:rPr>
      </w:pPr>
      <w:r>
        <w:rPr>
          <w:b/>
          <w:bCs/>
          <w:highlight w:val="none"/>
          <w:u w:val="single" w:color="auto"/>
        </w:rPr>
        <w:t>第二、三、四学年：学年综合素质评价总分=本学年五大模块总分×95%+学年综合</w:t>
      </w:r>
      <w:r>
        <w:rPr>
          <w:b/>
          <w:bCs/>
          <w:spacing w:val="-3"/>
          <w:highlight w:val="none"/>
          <w:u w:val="single" w:color="auto"/>
        </w:rPr>
        <w:t>素质增值分×5%</w:t>
      </w:r>
    </w:p>
    <w:p w14:paraId="0E8BEFC3">
      <w:pPr>
        <w:pStyle w:val="3"/>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320" w:firstLineChars="100"/>
        <w:textAlignment w:val="baseline"/>
        <w:rPr>
          <w:highlight w:val="none"/>
        </w:rPr>
      </w:pPr>
      <w:r>
        <w:rPr>
          <w:highlight w:val="none"/>
        </w:rPr>
        <w:t>（一）综合性评价</w:t>
      </w:r>
    </w:p>
    <w:p w14:paraId="0DE2C664">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48" w:firstLineChars="200"/>
        <w:textAlignment w:val="baseline"/>
        <w:rPr>
          <w:highlight w:val="none"/>
        </w:rPr>
      </w:pPr>
      <w:r>
        <w:rPr>
          <w:spacing w:val="2"/>
          <w:highlight w:val="none"/>
        </w:rPr>
        <w:t>1.综合性评价的五个模块（思想品德、学业表现、体育素养、美育素养、劳动素</w:t>
      </w:r>
      <w:r>
        <w:rPr>
          <w:spacing w:val="-3"/>
          <w:highlight w:val="none"/>
        </w:rPr>
        <w:t>养）的原始分需转换成标准分，转换公式如下：</w:t>
      </w:r>
    </w:p>
    <w:p w14:paraId="3677090D">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35" w:firstLineChars="200"/>
        <w:textAlignment w:val="baseline"/>
        <w:rPr>
          <w:highlight w:val="none"/>
        </w:rPr>
      </w:pPr>
      <w:r>
        <w:rPr>
          <w:b/>
          <w:bCs/>
          <w:spacing w:val="-2"/>
          <w:highlight w:val="none"/>
          <w:u w:val="single" w:color="auto"/>
        </w:rPr>
        <w:t>模块标准分=模块原始分/本年级本专业该模块最高分</w:t>
      </w:r>
    </w:p>
    <w:p w14:paraId="2CC8C773">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36" w:firstLineChars="200"/>
        <w:textAlignment w:val="baseline"/>
        <w:rPr>
          <w:highlight w:val="none"/>
        </w:rPr>
      </w:pPr>
      <w:r>
        <w:rPr>
          <w:spacing w:val="-1"/>
          <w:highlight w:val="none"/>
        </w:rPr>
        <w:t>2.各模块标准分按权重计入综合素质评价分，</w:t>
      </w:r>
      <w:r>
        <w:rPr>
          <w:b/>
          <w:bCs/>
          <w:spacing w:val="-1"/>
          <w:highlight w:val="none"/>
        </w:rPr>
        <w:t>保留三位小数</w:t>
      </w:r>
      <w:r>
        <w:rPr>
          <w:spacing w:val="-2"/>
          <w:highlight w:val="none"/>
        </w:rPr>
        <w:t>。综合测评分计分时使</w:t>
      </w:r>
      <w:r>
        <w:rPr>
          <w:spacing w:val="-10"/>
          <w:highlight w:val="none"/>
        </w:rPr>
        <w:t>用公式如下：</w:t>
      </w:r>
    </w:p>
    <w:p w14:paraId="23616514">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47" w:firstLineChars="200"/>
        <w:textAlignment w:val="baseline"/>
        <w:rPr>
          <w:highlight w:val="none"/>
        </w:rPr>
      </w:pPr>
      <w:r>
        <w:rPr>
          <w:b/>
          <w:bCs/>
          <w:spacing w:val="1"/>
          <w:highlight w:val="none"/>
        </w:rPr>
        <w:t>本学年五大模块总分</w:t>
      </w:r>
      <w:r>
        <w:rPr>
          <w:spacing w:val="1"/>
          <w:highlight w:val="none"/>
        </w:rPr>
        <w:t>＝学业表现模块标准分（学业成绩标准分×100×60%+学术</w:t>
      </w:r>
      <w:r>
        <w:rPr>
          <w:highlight w:val="none"/>
        </w:rPr>
        <w:t>研究、学科竞赛、创新发明、专业技能标准分总分×100×1</w:t>
      </w:r>
      <w:r>
        <w:rPr>
          <w:spacing w:val="-1"/>
          <w:highlight w:val="none"/>
        </w:rPr>
        <w:t>5%）+思想品德模块标准</w:t>
      </w:r>
      <w:r>
        <w:rPr>
          <w:highlight w:val="none"/>
        </w:rPr>
        <w:t>分×100×10％+体育素养模块标准分×100×5％+美育素养模块标准分×100×5%</w:t>
      </w:r>
      <w:r>
        <w:rPr>
          <w:spacing w:val="-3"/>
          <w:highlight w:val="none"/>
        </w:rPr>
        <w:t>+劳动素养模块标准分×100×5％。</w:t>
      </w:r>
    </w:p>
    <w:p w14:paraId="390E9BEC">
      <w:pPr>
        <w:pStyle w:val="3"/>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textAlignment w:val="baseline"/>
        <w:rPr>
          <w:rFonts w:hint="eastAsia"/>
          <w:highlight w:val="none"/>
          <w:lang w:val="en-US" w:eastAsia="zh-CN"/>
        </w:rPr>
      </w:pPr>
      <w:r>
        <w:rPr>
          <w:rFonts w:hint="eastAsia"/>
          <w:highlight w:val="none"/>
          <w:lang w:val="en-US" w:eastAsia="zh-CN"/>
        </w:rPr>
        <w:t>（二）发展性评价</w:t>
      </w:r>
    </w:p>
    <w:p w14:paraId="582931BC">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32" w:firstLineChars="200"/>
        <w:textAlignment w:val="baseline"/>
        <w:rPr>
          <w:highlight w:val="none"/>
        </w:rPr>
      </w:pPr>
      <w:r>
        <w:rPr>
          <w:spacing w:val="-2"/>
          <w:highlight w:val="none"/>
        </w:rPr>
        <w:t>1.发展性评价包括过程性评价和增值性评价。过程性评价体现在每</w:t>
      </w:r>
      <w:r>
        <w:rPr>
          <w:spacing w:val="-3"/>
          <w:highlight w:val="none"/>
        </w:rPr>
        <w:t>一学年对学生的</w:t>
      </w:r>
      <w:r>
        <w:rPr>
          <w:spacing w:val="-1"/>
          <w:highlight w:val="none"/>
        </w:rPr>
        <w:t>综合素质进行一次记录与考核，增值性评价体现在每一学年对学生的综合素质进行增值</w:t>
      </w:r>
      <w:r>
        <w:rPr>
          <w:spacing w:val="-3"/>
          <w:highlight w:val="none"/>
        </w:rPr>
        <w:t>计算，指标为学年综合素质增值分。</w:t>
      </w:r>
    </w:p>
    <w:p w14:paraId="139EF786">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35" w:firstLineChars="200"/>
        <w:textAlignment w:val="baseline"/>
        <w:rPr>
          <w:highlight w:val="none"/>
        </w:rPr>
      </w:pPr>
      <w:r>
        <w:rPr>
          <w:b/>
          <w:bCs/>
          <w:spacing w:val="-2"/>
          <w:highlight w:val="none"/>
          <w:u w:val="single" w:color="auto"/>
        </w:rPr>
        <w:t>学年综合素质增值原始分=本学年五大模块总分-上一学年五大模块总分</w:t>
      </w:r>
    </w:p>
    <w:p w14:paraId="28F2EA61">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24" w:firstLineChars="200"/>
        <w:textAlignment w:val="baseline"/>
        <w:rPr>
          <w:highlight w:val="none"/>
        </w:rPr>
      </w:pPr>
      <w:r>
        <w:rPr>
          <w:spacing w:val="-4"/>
          <w:highlight w:val="none"/>
        </w:rPr>
        <w:t>2.需要进行标准分的转换，转换公式如下：</w:t>
      </w:r>
    </w:p>
    <w:p w14:paraId="7A738D0C">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35" w:firstLineChars="200"/>
        <w:textAlignment w:val="baseline"/>
        <w:rPr>
          <w:b/>
          <w:bCs/>
          <w:spacing w:val="-3"/>
          <w:highlight w:val="none"/>
          <w:u w:val="single" w:color="auto"/>
        </w:rPr>
      </w:pPr>
      <w:r>
        <w:rPr>
          <w:b/>
          <w:bCs/>
          <w:spacing w:val="-2"/>
          <w:highlight w:val="none"/>
          <w:u w:val="single" w:color="auto"/>
        </w:rPr>
        <w:t>学年综合素质增值标准分=增值原始分/本年级本专业增</w:t>
      </w:r>
      <w:r>
        <w:rPr>
          <w:b/>
          <w:bCs/>
          <w:spacing w:val="-3"/>
          <w:highlight w:val="none"/>
          <w:u w:val="single" w:color="auto"/>
        </w:rPr>
        <w:t>值最高分</w:t>
      </w:r>
    </w:p>
    <w:p w14:paraId="13A78F76">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24" w:firstLineChars="200"/>
        <w:textAlignment w:val="baseline"/>
        <w:rPr>
          <w:rFonts w:hint="eastAsia"/>
          <w:spacing w:val="-4"/>
          <w:highlight w:val="none"/>
          <w:lang w:val="en-US" w:eastAsia="zh-CN"/>
        </w:rPr>
      </w:pPr>
      <w:r>
        <w:rPr>
          <w:rFonts w:hint="eastAsia"/>
          <w:spacing w:val="-4"/>
          <w:highlight w:val="none"/>
          <w:lang w:val="en-US" w:eastAsia="zh-CN"/>
        </w:rPr>
        <w:t>3.需要进行标准分和增值分的转换，转换公式如下：</w:t>
      </w:r>
    </w:p>
    <w:p w14:paraId="4764BDEF">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35" w:firstLineChars="200"/>
        <w:textAlignment w:val="baseline"/>
        <w:rPr>
          <w:rFonts w:ascii="Arial"/>
          <w:sz w:val="21"/>
          <w:highlight w:val="none"/>
        </w:rPr>
      </w:pPr>
      <w:r>
        <w:rPr>
          <w:rFonts w:hint="eastAsia"/>
          <w:b/>
          <w:bCs/>
          <w:spacing w:val="-2"/>
          <w:highlight w:val="none"/>
          <w:u w:val="single" w:color="auto"/>
          <w:lang w:val="en-US" w:eastAsia="zh-CN"/>
        </w:rPr>
        <w:t>学年综合素质增值分=学年综合素质增值标准分×100</w:t>
      </w:r>
    </w:p>
    <w:p w14:paraId="52AC84FF">
      <w:pPr>
        <w:pStyle w:val="2"/>
        <w:bidi w:val="0"/>
        <w:spacing w:line="360" w:lineRule="auto"/>
        <w:ind w:left="0" w:leftChars="0" w:firstLine="640" w:firstLineChars="200"/>
        <w:jc w:val="center"/>
        <w:rPr>
          <w:rFonts w:ascii="Arial"/>
          <w:sz w:val="21"/>
          <w:highlight w:val="none"/>
        </w:rPr>
      </w:pPr>
      <w:r>
        <w:rPr>
          <w:highlight w:val="none"/>
        </w:rPr>
        <w:t>第四章</w:t>
      </w:r>
      <w:r>
        <w:rPr>
          <w:rFonts w:hint="eastAsia"/>
          <w:highlight w:val="none"/>
          <w:lang w:val="en-US" w:eastAsia="zh-CN"/>
        </w:rPr>
        <w:t xml:space="preserve"> </w:t>
      </w:r>
      <w:r>
        <w:rPr>
          <w:highlight w:val="none"/>
        </w:rPr>
        <w:t>附则</w:t>
      </w:r>
    </w:p>
    <w:p w14:paraId="7E5FC851">
      <w:pPr>
        <w:pStyle w:val="4"/>
        <w:spacing w:before="78" w:line="360" w:lineRule="auto"/>
        <w:ind w:firstLine="640" w:firstLineChars="200"/>
        <w:rPr>
          <w:spacing w:val="-4"/>
          <w:highlight w:val="none"/>
        </w:rPr>
      </w:pPr>
      <w:r>
        <w:rPr>
          <w:rStyle w:val="13"/>
          <w:highlight w:val="none"/>
        </w:rPr>
        <w:t>第九条</w:t>
      </w:r>
      <w:r>
        <w:rPr>
          <w:rStyle w:val="13"/>
          <w:rFonts w:hint="eastAsia"/>
          <w:highlight w:val="none"/>
          <w:lang w:val="en-US"/>
        </w:rPr>
        <w:t xml:space="preserve"> </w:t>
      </w:r>
      <w:r>
        <w:rPr>
          <w:spacing w:val="-4"/>
          <w:highlight w:val="none"/>
        </w:rPr>
        <w:t>本细则中所指的以上、以内均包括本数；</w:t>
      </w:r>
    </w:p>
    <w:p w14:paraId="24722619">
      <w:pPr>
        <w:pStyle w:val="4"/>
        <w:spacing w:before="78" w:line="360" w:lineRule="auto"/>
        <w:ind w:firstLine="640" w:firstLineChars="200"/>
        <w:rPr>
          <w:spacing w:val="-7"/>
          <w:highlight w:val="none"/>
        </w:rPr>
      </w:pPr>
      <w:r>
        <w:rPr>
          <w:rStyle w:val="13"/>
          <w:highlight w:val="none"/>
        </w:rPr>
        <w:t>第十条</w:t>
      </w:r>
      <w:r>
        <w:rPr>
          <w:rStyle w:val="13"/>
          <w:rFonts w:hint="eastAsia"/>
          <w:highlight w:val="none"/>
          <w:lang w:val="en-US"/>
        </w:rPr>
        <w:t xml:space="preserve"> </w:t>
      </w:r>
      <w:r>
        <w:rPr>
          <w:spacing w:val="-7"/>
          <w:highlight w:val="none"/>
        </w:rPr>
        <w:t>本细则所提到上学年是指从评选的上一年9月1日至当年8月31日；</w:t>
      </w:r>
    </w:p>
    <w:p w14:paraId="0FFD3C0E">
      <w:pPr>
        <w:pStyle w:val="4"/>
        <w:spacing w:before="78" w:line="360" w:lineRule="auto"/>
        <w:ind w:firstLine="640" w:firstLineChars="200"/>
        <w:rPr>
          <w:highlight w:val="none"/>
        </w:rPr>
      </w:pPr>
      <w:r>
        <w:rPr>
          <w:rStyle w:val="13"/>
          <w:highlight w:val="none"/>
        </w:rPr>
        <w:t>第十一条</w:t>
      </w:r>
      <w:r>
        <w:rPr>
          <w:rStyle w:val="13"/>
          <w:rFonts w:hint="eastAsia"/>
          <w:highlight w:val="none"/>
          <w:lang w:val="en-US"/>
        </w:rPr>
        <w:t xml:space="preserve"> </w:t>
      </w:r>
      <w:r>
        <w:rPr>
          <w:spacing w:val="-1"/>
          <w:highlight w:val="none"/>
        </w:rPr>
        <w:t>根据《华南师范大学全日制本科学生综合素质评价办法（试行）》规定</w:t>
      </w:r>
      <w:r>
        <w:rPr>
          <w:spacing w:val="-3"/>
          <w:highlight w:val="none"/>
        </w:rPr>
        <w:t>制定本学院综合素质评价细则，并报学生工作部</w:t>
      </w:r>
      <w:r>
        <w:rPr>
          <w:rFonts w:hint="eastAsia"/>
          <w:spacing w:val="-2"/>
          <w:highlight w:val="none"/>
          <w:lang w:eastAsia="zh-CN"/>
        </w:rPr>
        <w:t>（</w:t>
      </w:r>
      <w:r>
        <w:rPr>
          <w:rFonts w:hint="eastAsia"/>
          <w:spacing w:val="-2"/>
          <w:highlight w:val="none"/>
          <w:lang w:val="en-US" w:eastAsia="zh-CN"/>
        </w:rPr>
        <w:t>研究生工作部）</w:t>
      </w:r>
      <w:r>
        <w:rPr>
          <w:spacing w:val="-3"/>
          <w:highlight w:val="none"/>
        </w:rPr>
        <w:t>备案；</w:t>
      </w:r>
    </w:p>
    <w:p w14:paraId="14D035C5">
      <w:pPr>
        <w:pStyle w:val="4"/>
        <w:spacing w:before="33" w:line="360" w:lineRule="auto"/>
        <w:ind w:right="2" w:firstLine="640" w:firstLineChars="200"/>
        <w:rPr>
          <w:highlight w:val="none"/>
        </w:rPr>
      </w:pPr>
      <w:r>
        <w:rPr>
          <w:rStyle w:val="13"/>
          <w:highlight w:val="none"/>
        </w:rPr>
        <w:t>第十二条</w:t>
      </w:r>
      <w:r>
        <w:rPr>
          <w:rStyle w:val="13"/>
          <w:rFonts w:hint="eastAsia"/>
          <w:highlight w:val="none"/>
          <w:lang w:val="en-US"/>
        </w:rPr>
        <w:t xml:space="preserve"> </w:t>
      </w:r>
      <w:r>
        <w:rPr>
          <w:spacing w:val="-1"/>
          <w:highlight w:val="none"/>
        </w:rPr>
        <w:t>对于在评定活动中违反诚信原则、弄虚作假、为自己或者他人谋取不正</w:t>
      </w:r>
      <w:r>
        <w:rPr>
          <w:spacing w:val="-2"/>
          <w:highlight w:val="none"/>
        </w:rPr>
        <w:t>当的利益的个人，取消其评优资格，并按照《华南师范大学学生</w:t>
      </w:r>
      <w:r>
        <w:rPr>
          <w:spacing w:val="-3"/>
          <w:highlight w:val="none"/>
        </w:rPr>
        <w:t>管理规定》处分；</w:t>
      </w:r>
    </w:p>
    <w:p w14:paraId="1E4ED2C6">
      <w:pPr>
        <w:pStyle w:val="4"/>
        <w:spacing w:before="39" w:line="360" w:lineRule="auto"/>
        <w:ind w:firstLine="640" w:firstLineChars="200"/>
        <w:rPr>
          <w:highlight w:val="none"/>
        </w:rPr>
      </w:pPr>
      <w:r>
        <w:rPr>
          <w:rStyle w:val="13"/>
          <w:highlight w:val="none"/>
        </w:rPr>
        <w:t>第十三条</w:t>
      </w:r>
      <w:r>
        <w:rPr>
          <w:rStyle w:val="13"/>
          <w:rFonts w:hint="eastAsia"/>
          <w:highlight w:val="none"/>
          <w:lang w:val="en-US"/>
        </w:rPr>
        <w:t xml:space="preserve"> </w:t>
      </w:r>
      <w:r>
        <w:rPr>
          <w:spacing w:val="-1"/>
          <w:highlight w:val="none"/>
        </w:rPr>
        <w:t>休学、外校交换来我校的学生不参与综合素质评价。本学年转专业到我</w:t>
      </w:r>
      <w:r>
        <w:rPr>
          <w:spacing w:val="2"/>
          <w:highlight w:val="none"/>
        </w:rPr>
        <w:t>院的学生，应回原所在学院参与评定；本学年我</w:t>
      </w:r>
      <w:r>
        <w:rPr>
          <w:spacing w:val="1"/>
          <w:highlight w:val="none"/>
        </w:rPr>
        <w:t>院转出的学生应在我院完成综合测评。</w:t>
      </w:r>
      <w:r>
        <w:rPr>
          <w:spacing w:val="2"/>
          <w:highlight w:val="none"/>
        </w:rPr>
        <w:t>评定学年交换出去的交换生需转换学分才能参评，且在外校参加的活动不加分；境外交</w:t>
      </w:r>
      <w:r>
        <w:rPr>
          <w:spacing w:val="-5"/>
          <w:highlight w:val="none"/>
        </w:rPr>
        <w:t>换无法转换学分的不参与评定；</w:t>
      </w:r>
    </w:p>
    <w:p w14:paraId="1376FA7E">
      <w:pPr>
        <w:pStyle w:val="4"/>
        <w:spacing w:before="34" w:line="360" w:lineRule="auto"/>
        <w:ind w:right="1" w:firstLine="640" w:firstLineChars="200"/>
        <w:jc w:val="both"/>
        <w:rPr>
          <w:highlight w:val="none"/>
        </w:rPr>
      </w:pPr>
      <w:r>
        <w:rPr>
          <w:rStyle w:val="13"/>
          <w:highlight w:val="none"/>
        </w:rPr>
        <w:t>第十四条</w:t>
      </w:r>
      <w:r>
        <w:rPr>
          <w:rStyle w:val="13"/>
          <w:rFonts w:hint="eastAsia"/>
          <w:highlight w:val="none"/>
          <w:lang w:val="en-US"/>
        </w:rPr>
        <w:t xml:space="preserve"> </w:t>
      </w:r>
      <w:r>
        <w:rPr>
          <w:spacing w:val="-1"/>
          <w:highlight w:val="none"/>
        </w:rPr>
        <w:t>本条例的解释权属华</w:t>
      </w:r>
      <w:r>
        <w:rPr>
          <w:color w:val="auto"/>
          <w:spacing w:val="-1"/>
          <w:highlight w:val="none"/>
        </w:rPr>
        <w:t>南师范大学教育科学学院所有，并接受华南师范大学教育科学学院全体师生监督。本条例自</w:t>
      </w:r>
      <w:r>
        <w:rPr>
          <w:rFonts w:hint="eastAsia"/>
          <w:color w:val="auto"/>
          <w:spacing w:val="-1"/>
          <w:highlight w:val="none"/>
          <w:lang w:val="en-US" w:eastAsia="zh-CN"/>
        </w:rPr>
        <w:t>2025年7月14日</w:t>
      </w:r>
      <w:r>
        <w:rPr>
          <w:color w:val="auto"/>
          <w:spacing w:val="-2"/>
          <w:highlight w:val="none"/>
        </w:rPr>
        <w:t>开始施</w:t>
      </w:r>
      <w:r>
        <w:rPr>
          <w:spacing w:val="-2"/>
          <w:highlight w:val="none"/>
        </w:rPr>
        <w:t>行。</w:t>
      </w:r>
    </w:p>
    <w:p w14:paraId="2CC350A9">
      <w:pPr>
        <w:pStyle w:val="2"/>
        <w:bidi w:val="0"/>
        <w:rPr>
          <w:highlight w:val="none"/>
        </w:rPr>
      </w:pPr>
      <w:r>
        <w:rPr>
          <w:highlight w:val="none"/>
        </w:rPr>
        <w:t>附件一：华南师范大学教育科学学院综合素质加减分</w:t>
      </w:r>
      <w:r>
        <w:rPr>
          <w:rFonts w:hint="eastAsia"/>
          <w:highlight w:val="none"/>
          <w:lang w:val="en-US" w:eastAsia="zh-CN"/>
        </w:rPr>
        <w:t>规</w:t>
      </w:r>
      <w:r>
        <w:rPr>
          <w:highlight w:val="none"/>
        </w:rPr>
        <w:t>则</w:t>
      </w:r>
    </w:p>
    <w:p w14:paraId="058F320A">
      <w:pPr>
        <w:pStyle w:val="2"/>
        <w:bidi w:val="0"/>
        <w:rPr>
          <w:highlight w:val="none"/>
        </w:rPr>
      </w:pPr>
      <w:r>
        <w:rPr>
          <w:highlight w:val="none"/>
        </w:rPr>
        <w:t>附件二：职务加分分值一览表</w:t>
      </w:r>
    </w:p>
    <w:p w14:paraId="34CCCB32">
      <w:pPr>
        <w:pStyle w:val="2"/>
        <w:bidi w:val="0"/>
        <w:ind w:left="0" w:leftChars="0" w:firstLine="640" w:firstLineChars="200"/>
        <w:rPr>
          <w:rFonts w:hint="eastAsia"/>
          <w:highlight w:val="none"/>
          <w:lang w:val="en-US" w:eastAsia="zh-CN"/>
        </w:rPr>
      </w:pPr>
      <w:r>
        <w:rPr>
          <w:rFonts w:hint="eastAsia"/>
          <w:highlight w:val="none"/>
          <w:lang w:val="en-US" w:eastAsia="zh-CN"/>
        </w:rPr>
        <w:t>附件三：其他校内组织社团汇总</w:t>
      </w:r>
    </w:p>
    <w:p w14:paraId="0FB498EE">
      <w:pPr>
        <w:ind w:firstLine="640" w:firstLineChars="200"/>
        <w:rPr>
          <w:rFonts w:hint="eastAsia" w:ascii="宋体" w:hAnsi="宋体" w:eastAsia="黑体" w:cs="宋体"/>
          <w:snapToGrid/>
          <w:color w:val="000000"/>
          <w:kern w:val="44"/>
          <w:sz w:val="32"/>
          <w:szCs w:val="24"/>
          <w:highlight w:val="none"/>
          <w:lang w:val="en-US" w:eastAsia="zh-CN" w:bidi="ar-SA"/>
        </w:rPr>
      </w:pPr>
      <w:r>
        <w:rPr>
          <w:rFonts w:hint="eastAsia" w:ascii="宋体" w:hAnsi="宋体" w:eastAsia="黑体" w:cs="宋体"/>
          <w:snapToGrid/>
          <w:color w:val="000000"/>
          <w:kern w:val="44"/>
          <w:sz w:val="32"/>
          <w:szCs w:val="24"/>
          <w:highlight w:val="none"/>
          <w:lang w:val="en-US" w:eastAsia="zh-CN" w:bidi="ar-SA"/>
        </w:rPr>
        <w:t>附件四 “论文类加分”中的代表性成果推荐目录</w:t>
      </w:r>
    </w:p>
    <w:p w14:paraId="0BF1CD7E">
      <w:pPr>
        <w:pStyle w:val="3"/>
        <w:tabs>
          <w:tab w:val="left" w:pos="0"/>
          <w:tab w:val="left" w:pos="1418"/>
        </w:tabs>
        <w:bidi w:val="0"/>
        <w:ind w:left="0" w:leftChars="0" w:firstLine="0" w:firstLineChars="0"/>
        <w:jc w:val="right"/>
        <w:rPr>
          <w:color w:val="auto"/>
          <w:spacing w:val="-1"/>
          <w:highlight w:val="none"/>
        </w:rPr>
      </w:pPr>
      <w:r>
        <w:rPr>
          <w:color w:val="auto"/>
          <w:spacing w:val="-1"/>
          <w:highlight w:val="none"/>
        </w:rPr>
        <w:t>华南师范大学教育科学学院</w:t>
      </w:r>
    </w:p>
    <w:p w14:paraId="69A5241B">
      <w:pPr>
        <w:pStyle w:val="2"/>
        <w:bidi w:val="0"/>
        <w:ind w:left="0" w:leftChars="0" w:firstLine="0" w:firstLineChars="0"/>
        <w:jc w:val="right"/>
        <w:rPr>
          <w:rFonts w:hint="eastAsia" w:ascii="宋体" w:hAnsi="宋体" w:eastAsia="宋体" w:cs="宋体"/>
          <w:color w:val="auto"/>
          <w:spacing w:val="-1"/>
          <w:highlight w:val="none"/>
          <w:lang w:val="en-US" w:eastAsia="zh-CN"/>
        </w:rPr>
      </w:pPr>
      <w:r>
        <w:rPr>
          <w:rFonts w:hint="eastAsia" w:ascii="宋体" w:hAnsi="宋体" w:eastAsia="宋体" w:cs="宋体"/>
          <w:color w:val="auto"/>
          <w:spacing w:val="-1"/>
          <w:highlight w:val="none"/>
          <w:lang w:val="en-US" w:eastAsia="zh-CN"/>
        </w:rPr>
        <w:t>2025</w:t>
      </w:r>
      <w:bookmarkStart w:id="0" w:name="_GoBack"/>
      <w:bookmarkEnd w:id="0"/>
      <w:r>
        <w:rPr>
          <w:rFonts w:hint="eastAsia" w:ascii="宋体" w:hAnsi="宋体" w:eastAsia="宋体" w:cs="宋体"/>
          <w:color w:val="auto"/>
          <w:spacing w:val="-1"/>
          <w:highlight w:val="none"/>
          <w:lang w:val="en-US" w:eastAsia="zh-CN"/>
        </w:rPr>
        <w:t>年</w:t>
      </w:r>
      <w:r>
        <w:rPr>
          <w:rFonts w:hint="eastAsia" w:ascii="宋体" w:hAnsi="宋体" w:eastAsia="宋体" w:cs="宋体"/>
          <w:color w:val="auto"/>
          <w:spacing w:val="-1"/>
          <w:highlight w:val="none"/>
          <w:lang w:val="en-US" w:eastAsia="zh-CN"/>
        </w:rPr>
        <w:t>12月9日</w:t>
      </w:r>
    </w:p>
    <w:p w14:paraId="5A9AB881">
      <w:pPr>
        <w:rPr>
          <w:rFonts w:hint="eastAsia"/>
          <w:color w:val="auto"/>
          <w:spacing w:val="-1"/>
          <w:highlight w:val="none"/>
          <w:lang w:val="en-US" w:eastAsia="zh-CN"/>
        </w:rPr>
      </w:pPr>
      <w:r>
        <w:rPr>
          <w:rFonts w:hint="eastAsia"/>
          <w:color w:val="auto"/>
          <w:spacing w:val="-1"/>
          <w:highlight w:val="none"/>
          <w:lang w:val="en-US" w:eastAsia="zh-CN"/>
        </w:rPr>
        <w:br w:type="page"/>
      </w:r>
    </w:p>
    <w:p w14:paraId="59CAB810">
      <w:pPr>
        <w:rPr>
          <w:rFonts w:hint="default"/>
          <w:highlight w:val="none"/>
          <w:lang w:val="en-US" w:eastAsia="zh-CN"/>
        </w:rPr>
      </w:pPr>
    </w:p>
    <w:p w14:paraId="553A9D1C">
      <w:pPr>
        <w:keepNext w:val="0"/>
        <w:keepLines w:val="0"/>
        <w:pageBreakBefore w:val="0"/>
        <w:widowControl w:val="0"/>
        <w:tabs>
          <w:tab w:val="left" w:pos="0"/>
          <w:tab w:val="left" w:pos="1418"/>
        </w:tabs>
        <w:kinsoku/>
        <w:wordWrap/>
        <w:overflowPunct/>
        <w:topLinePunct w:val="0"/>
        <w:autoSpaceDE/>
        <w:autoSpaceDN/>
        <w:bidi w:val="0"/>
        <w:adjustRightInd/>
        <w:snapToGrid/>
        <w:spacing w:before="0" w:beforeLines="0" w:after="120" w:afterLines="50" w:line="360" w:lineRule="auto"/>
        <w:ind w:left="0" w:leftChars="0" w:firstLine="0" w:firstLineChars="0"/>
        <w:jc w:val="both"/>
        <w:textAlignment w:val="auto"/>
        <w:rPr>
          <w:rFonts w:hint="eastAsia" w:ascii="方正小标宋简体" w:hAnsi="方正小标宋简体" w:eastAsia="方正小标宋简体" w:cs="方正小标宋简体"/>
          <w:b/>
          <w:snapToGrid/>
          <w:kern w:val="2"/>
          <w:sz w:val="44"/>
          <w:szCs w:val="44"/>
          <w:highlight w:val="none"/>
          <w:lang w:eastAsia="zh-CN"/>
        </w:rPr>
      </w:pPr>
      <w:r>
        <w:rPr>
          <w:rFonts w:hint="eastAsia" w:ascii="方正小标宋简体" w:hAnsi="方正小标宋简体" w:eastAsia="方正小标宋简体" w:cs="方正小标宋简体"/>
          <w:b/>
          <w:snapToGrid/>
          <w:kern w:val="2"/>
          <w:sz w:val="44"/>
          <w:szCs w:val="44"/>
          <w:highlight w:val="none"/>
          <w:lang w:eastAsia="zh-CN"/>
        </w:rPr>
        <w:t>附件一：</w:t>
      </w:r>
    </w:p>
    <w:p w14:paraId="0B03DA55">
      <w:pPr>
        <w:keepNext w:val="0"/>
        <w:keepLines w:val="0"/>
        <w:pageBreakBefore w:val="0"/>
        <w:widowControl w:val="0"/>
        <w:tabs>
          <w:tab w:val="left" w:pos="0"/>
          <w:tab w:val="left" w:pos="1418"/>
        </w:tabs>
        <w:kinsoku/>
        <w:wordWrap/>
        <w:overflowPunct/>
        <w:topLinePunct w:val="0"/>
        <w:autoSpaceDE/>
        <w:autoSpaceDN/>
        <w:bidi w:val="0"/>
        <w:adjustRightInd/>
        <w:snapToGrid/>
        <w:spacing w:before="0" w:beforeLines="0" w:after="120" w:afterLines="50" w:line="360" w:lineRule="auto"/>
        <w:ind w:left="0" w:leftChars="0" w:firstLine="0" w:firstLineChars="0"/>
        <w:jc w:val="center"/>
        <w:textAlignment w:val="auto"/>
        <w:rPr>
          <w:rFonts w:hint="eastAsia" w:ascii="方正小标宋简体" w:hAnsi="方正小标宋简体" w:eastAsia="方正小标宋简体" w:cs="方正小标宋简体"/>
          <w:b/>
          <w:snapToGrid/>
          <w:kern w:val="2"/>
          <w:sz w:val="44"/>
          <w:szCs w:val="44"/>
          <w:highlight w:val="none"/>
          <w:lang w:eastAsia="zh-CN"/>
        </w:rPr>
      </w:pPr>
      <w:r>
        <w:rPr>
          <w:rFonts w:hint="eastAsia" w:ascii="方正小标宋简体" w:hAnsi="方正小标宋简体" w:eastAsia="方正小标宋简体" w:cs="方正小标宋简体"/>
          <w:b/>
          <w:snapToGrid/>
          <w:kern w:val="2"/>
          <w:sz w:val="44"/>
          <w:szCs w:val="44"/>
          <w:highlight w:val="none"/>
          <w:lang w:eastAsia="zh-CN"/>
        </w:rPr>
        <w:t>华南师范大学教育科学学院</w:t>
      </w:r>
    </w:p>
    <w:p w14:paraId="1CD7D40F">
      <w:pPr>
        <w:keepNext w:val="0"/>
        <w:keepLines w:val="0"/>
        <w:pageBreakBefore w:val="0"/>
        <w:widowControl w:val="0"/>
        <w:tabs>
          <w:tab w:val="left" w:pos="0"/>
          <w:tab w:val="left" w:pos="1418"/>
        </w:tabs>
        <w:kinsoku/>
        <w:wordWrap/>
        <w:overflowPunct/>
        <w:topLinePunct w:val="0"/>
        <w:autoSpaceDE/>
        <w:autoSpaceDN/>
        <w:bidi w:val="0"/>
        <w:adjustRightInd/>
        <w:snapToGrid/>
        <w:spacing w:before="0" w:beforeLines="0" w:after="120" w:afterLines="50" w:line="360" w:lineRule="auto"/>
        <w:ind w:left="0" w:leftChars="0" w:firstLine="0" w:firstLineChars="0"/>
        <w:jc w:val="center"/>
        <w:textAlignment w:val="auto"/>
        <w:rPr>
          <w:rFonts w:hint="default" w:ascii="Arial"/>
          <w:sz w:val="21"/>
          <w:highlight w:val="none"/>
          <w:lang w:val="en-US"/>
        </w:rPr>
      </w:pPr>
      <w:r>
        <w:rPr>
          <w:rFonts w:hint="eastAsia" w:ascii="方正小标宋简体" w:hAnsi="方正小标宋简体" w:eastAsia="方正小标宋简体" w:cs="方正小标宋简体"/>
          <w:b/>
          <w:snapToGrid/>
          <w:kern w:val="2"/>
          <w:sz w:val="44"/>
          <w:szCs w:val="44"/>
          <w:highlight w:val="none"/>
          <w:lang w:eastAsia="zh-CN"/>
        </w:rPr>
        <w:t>综合素质评价加减分</w:t>
      </w:r>
      <w:r>
        <w:rPr>
          <w:rFonts w:hint="eastAsia" w:ascii="方正小标宋简体" w:hAnsi="方正小标宋简体" w:eastAsia="方正小标宋简体" w:cs="方正小标宋简体"/>
          <w:b/>
          <w:snapToGrid/>
          <w:kern w:val="2"/>
          <w:sz w:val="44"/>
          <w:szCs w:val="44"/>
          <w:highlight w:val="none"/>
          <w:lang w:val="en-US" w:eastAsia="zh-CN"/>
        </w:rPr>
        <w:t>规则</w:t>
      </w:r>
    </w:p>
    <w:p w14:paraId="7EF3621F">
      <w:pPr>
        <w:pStyle w:val="2"/>
        <w:pageBreakBefore w:val="0"/>
        <w:wordWrap/>
        <w:overflowPunct/>
        <w:topLinePunct w:val="0"/>
        <w:bidi w:val="0"/>
        <w:spacing w:beforeLines="0" w:afterLines="0"/>
        <w:ind w:left="0" w:leftChars="0" w:right="0" w:firstLine="640" w:firstLineChars="200"/>
        <w:rPr>
          <w:highlight w:val="none"/>
        </w:rPr>
      </w:pPr>
      <w:r>
        <w:rPr>
          <w:highlight w:val="none"/>
        </w:rPr>
        <w:t>第一条</w:t>
      </w:r>
      <w:r>
        <w:rPr>
          <w:rFonts w:hint="eastAsia"/>
          <w:highlight w:val="none"/>
          <w:lang w:val="en-US" w:eastAsia="zh-CN"/>
        </w:rPr>
        <w:t xml:space="preserve"> </w:t>
      </w:r>
      <w:r>
        <w:rPr>
          <w:highlight w:val="none"/>
        </w:rPr>
        <w:t>思想品德模块分。</w:t>
      </w:r>
    </w:p>
    <w:p w14:paraId="73F6AB05">
      <w:pPr>
        <w:pStyle w:val="4"/>
        <w:pageBreakBefore w:val="0"/>
        <w:wordWrap/>
        <w:overflowPunct/>
        <w:topLinePunct w:val="0"/>
        <w:bidi w:val="0"/>
        <w:spacing w:line="360" w:lineRule="auto"/>
        <w:ind w:left="0" w:right="0" w:firstLine="628" w:firstLineChars="200"/>
        <w:rPr>
          <w:highlight w:val="none"/>
        </w:rPr>
      </w:pPr>
      <w:r>
        <w:rPr>
          <w:spacing w:val="-3"/>
          <w:highlight w:val="none"/>
        </w:rPr>
        <w:t>（思想道德模块分＝基础分60分+表现加分—品德扣分）</w:t>
      </w:r>
    </w:p>
    <w:p w14:paraId="01E687FB">
      <w:pPr>
        <w:pStyle w:val="4"/>
        <w:pageBreakBefore w:val="0"/>
        <w:wordWrap/>
        <w:overflowPunct/>
        <w:topLinePunct w:val="0"/>
        <w:bidi w:val="0"/>
        <w:spacing w:line="360" w:lineRule="auto"/>
        <w:ind w:left="0" w:right="0" w:firstLine="632" w:firstLineChars="200"/>
        <w:outlineLvl w:val="2"/>
        <w:rPr>
          <w:highlight w:val="none"/>
        </w:rPr>
      </w:pPr>
      <w:r>
        <w:rPr>
          <w:spacing w:val="-2"/>
          <w:highlight w:val="none"/>
        </w:rPr>
        <w:t>（一）表现加分</w:t>
      </w:r>
    </w:p>
    <w:p w14:paraId="1048A7AB">
      <w:pPr>
        <w:pStyle w:val="4"/>
        <w:pageBreakBefore w:val="0"/>
        <w:wordWrap/>
        <w:overflowPunct/>
        <w:topLinePunct w:val="0"/>
        <w:bidi w:val="0"/>
        <w:spacing w:line="360" w:lineRule="auto"/>
        <w:ind w:left="0" w:right="0" w:firstLine="616" w:firstLineChars="200"/>
        <w:outlineLvl w:val="3"/>
        <w:rPr>
          <w:highlight w:val="none"/>
        </w:rPr>
      </w:pPr>
      <w:r>
        <w:rPr>
          <w:spacing w:val="-6"/>
          <w:highlight w:val="none"/>
        </w:rPr>
        <w:t>1.义务献血，每次加2分；</w:t>
      </w:r>
    </w:p>
    <w:p w14:paraId="66800CC7">
      <w:pPr>
        <w:pStyle w:val="4"/>
        <w:pageBreakBefore w:val="0"/>
        <w:wordWrap/>
        <w:overflowPunct/>
        <w:topLinePunct w:val="0"/>
        <w:bidi w:val="0"/>
        <w:spacing w:line="360" w:lineRule="auto"/>
        <w:ind w:left="0" w:right="0" w:firstLine="640" w:firstLineChars="200"/>
        <w:rPr>
          <w:highlight w:val="none"/>
        </w:rPr>
      </w:pPr>
      <w:r>
        <w:rPr>
          <w:highlight w:val="none"/>
        </w:rPr>
        <w:t>2.积极参加学校或学院组织的捐书、捐款、捐物</w:t>
      </w:r>
      <w:r>
        <w:rPr>
          <w:spacing w:val="-1"/>
          <w:highlight w:val="none"/>
        </w:rPr>
        <w:t>活动以及大学生之家、义务劳动</w:t>
      </w:r>
      <w:r>
        <w:rPr>
          <w:spacing w:val="-4"/>
          <w:highlight w:val="none"/>
        </w:rPr>
        <w:t>等集体活动者，提供相关证明，每次加1分，该项累计加分超过5</w:t>
      </w:r>
      <w:r>
        <w:rPr>
          <w:spacing w:val="-5"/>
          <w:highlight w:val="none"/>
        </w:rPr>
        <w:t>分者仍按5分计算；</w:t>
      </w:r>
    </w:p>
    <w:p w14:paraId="7E9B8745">
      <w:pPr>
        <w:pStyle w:val="4"/>
        <w:pageBreakBefore w:val="0"/>
        <w:wordWrap/>
        <w:overflowPunct/>
        <w:topLinePunct w:val="0"/>
        <w:bidi w:val="0"/>
        <w:spacing w:line="360" w:lineRule="auto"/>
        <w:ind w:left="0" w:right="0" w:firstLine="624" w:firstLineChars="200"/>
        <w:rPr>
          <w:highlight w:val="none"/>
        </w:rPr>
      </w:pPr>
      <w:r>
        <w:rPr>
          <w:spacing w:val="-4"/>
          <w:highlight w:val="none"/>
        </w:rPr>
        <w:t>3.受学院通报表扬加1分，学校通报表</w:t>
      </w:r>
      <w:r>
        <w:rPr>
          <w:spacing w:val="-5"/>
          <w:highlight w:val="none"/>
        </w:rPr>
        <w:t>扬加2分；</w:t>
      </w:r>
    </w:p>
    <w:p w14:paraId="43E22703">
      <w:pPr>
        <w:pStyle w:val="4"/>
        <w:pageBreakBefore w:val="0"/>
        <w:wordWrap/>
        <w:overflowPunct/>
        <w:topLinePunct w:val="0"/>
        <w:bidi w:val="0"/>
        <w:spacing w:line="360" w:lineRule="auto"/>
        <w:ind w:left="0" w:right="0" w:firstLine="636" w:firstLineChars="200"/>
        <w:rPr>
          <w:highlight w:val="none"/>
        </w:rPr>
      </w:pPr>
      <w:r>
        <w:rPr>
          <w:spacing w:val="-1"/>
          <w:highlight w:val="none"/>
        </w:rPr>
        <w:t>4.宿舍获得文明宿舍，其成员每次各加1分；宿舍获</w:t>
      </w:r>
      <w:r>
        <w:rPr>
          <w:spacing w:val="-2"/>
          <w:highlight w:val="none"/>
        </w:rPr>
        <w:t>得“学习型宿舍”，其成员</w:t>
      </w:r>
      <w:r>
        <w:rPr>
          <w:spacing w:val="-10"/>
          <w:highlight w:val="none"/>
        </w:rPr>
        <w:t>每人加3分；</w:t>
      </w:r>
    </w:p>
    <w:p w14:paraId="126EFDA3">
      <w:pPr>
        <w:pStyle w:val="4"/>
        <w:pageBreakBefore w:val="0"/>
        <w:wordWrap/>
        <w:overflowPunct/>
        <w:topLinePunct w:val="0"/>
        <w:bidi w:val="0"/>
        <w:spacing w:line="360" w:lineRule="auto"/>
        <w:ind w:left="0" w:right="0" w:firstLine="636" w:firstLineChars="200"/>
        <w:jc w:val="both"/>
        <w:rPr>
          <w:spacing w:val="-2"/>
          <w:highlight w:val="none"/>
        </w:rPr>
      </w:pPr>
      <w:r>
        <w:rPr>
          <w:spacing w:val="-1"/>
          <w:highlight w:val="none"/>
        </w:rPr>
        <w:t>5.被评为各类优秀学生骨干和各类学生工作先进个人(包括工作先进个人、工作优秀个人、优秀兼职班主任、优秀班长、优秀团支书、优秀实习队长按优秀学</w:t>
      </w:r>
      <w:r>
        <w:rPr>
          <w:spacing w:val="-2"/>
          <w:highlight w:val="none"/>
        </w:rPr>
        <w:t>生骨干加分)者，省级以上加</w:t>
      </w:r>
      <w:r>
        <w:rPr>
          <w:rFonts w:hint="eastAsia"/>
          <w:spacing w:val="-46"/>
          <w:highlight w:val="none"/>
          <w:lang w:val="en-US" w:eastAsia="zh-CN"/>
        </w:rPr>
        <w:t>7</w:t>
      </w:r>
      <w:r>
        <w:rPr>
          <w:spacing w:val="-2"/>
          <w:highlight w:val="none"/>
        </w:rPr>
        <w:t>分，校级加</w:t>
      </w:r>
      <w:r>
        <w:rPr>
          <w:rFonts w:hint="eastAsia"/>
          <w:spacing w:val="-2"/>
          <w:highlight w:val="none"/>
          <w:lang w:val="en-US" w:eastAsia="zh-CN"/>
        </w:rPr>
        <w:t>5</w:t>
      </w:r>
      <w:r>
        <w:rPr>
          <w:spacing w:val="-2"/>
          <w:highlight w:val="none"/>
        </w:rPr>
        <w:t>分，院级加3分</w:t>
      </w:r>
      <w:r>
        <w:rPr>
          <w:rFonts w:hint="eastAsia"/>
          <w:spacing w:val="-2"/>
          <w:highlight w:val="none"/>
          <w:lang w:eastAsia="zh-CN"/>
        </w:rPr>
        <w:t>；</w:t>
      </w:r>
      <w:r>
        <w:rPr>
          <w:spacing w:val="-2"/>
          <w:highlight w:val="none"/>
        </w:rPr>
        <w:t>在</w:t>
      </w:r>
      <w:r>
        <w:rPr>
          <w:spacing w:val="-3"/>
          <w:highlight w:val="none"/>
        </w:rPr>
        <w:t>同一组织中重复获</w:t>
      </w:r>
      <w:r>
        <w:rPr>
          <w:spacing w:val="-2"/>
          <w:highlight w:val="none"/>
        </w:rPr>
        <w:t>同类称号不可累计加分，在不同组织中获同类称号可累计加分。</w:t>
      </w:r>
    </w:p>
    <w:p w14:paraId="2A624296">
      <w:pPr>
        <w:pStyle w:val="4"/>
        <w:pageBreakBefore w:val="0"/>
        <w:wordWrap/>
        <w:overflowPunct/>
        <w:topLinePunct w:val="0"/>
        <w:bidi w:val="0"/>
        <w:spacing w:line="360" w:lineRule="auto"/>
        <w:ind w:left="0" w:right="0" w:firstLine="636" w:firstLineChars="200"/>
        <w:jc w:val="both"/>
        <w:rPr>
          <w:highlight w:val="none"/>
        </w:rPr>
      </w:pPr>
      <w:r>
        <w:rPr>
          <w:spacing w:val="-1"/>
          <w:highlight w:val="none"/>
        </w:rPr>
        <w:t>6.社团内部评选的积极分子（部门之星）加1</w:t>
      </w:r>
      <w:r>
        <w:rPr>
          <w:spacing w:val="-2"/>
          <w:highlight w:val="none"/>
        </w:rPr>
        <w:t>分（不分院校级；只加学年不加学</w:t>
      </w:r>
      <w:r>
        <w:rPr>
          <w:highlight w:val="none"/>
        </w:rPr>
        <w:t>期；同一个人在同一组织中多次获得积极分</w:t>
      </w:r>
      <w:r>
        <w:rPr>
          <w:spacing w:val="-1"/>
          <w:highlight w:val="none"/>
        </w:rPr>
        <w:t>子或部门之星不可累计加分，在不同组织中获得可累计加分；整个社团内评定的加分，部门内评定的则不加分）</w:t>
      </w:r>
    </w:p>
    <w:p w14:paraId="1A5B2399">
      <w:pPr>
        <w:pStyle w:val="4"/>
        <w:pageBreakBefore w:val="0"/>
        <w:wordWrap/>
        <w:overflowPunct/>
        <w:topLinePunct w:val="0"/>
        <w:bidi w:val="0"/>
        <w:spacing w:line="360" w:lineRule="auto"/>
        <w:ind w:left="0" w:right="0" w:firstLine="628" w:firstLineChars="200"/>
        <w:outlineLvl w:val="3"/>
        <w:rPr>
          <w:highlight w:val="none"/>
        </w:rPr>
      </w:pPr>
      <w:r>
        <w:rPr>
          <w:spacing w:val="-3"/>
          <w:highlight w:val="none"/>
        </w:rPr>
        <w:t>7.被评为校长荣誉学生加4分，被评为院长荣誉学生加3.5分。</w:t>
      </w:r>
    </w:p>
    <w:p w14:paraId="52C2B09C">
      <w:pPr>
        <w:pStyle w:val="4"/>
        <w:pageBreakBefore w:val="0"/>
        <w:wordWrap/>
        <w:overflowPunct/>
        <w:topLinePunct w:val="0"/>
        <w:bidi w:val="0"/>
        <w:spacing w:line="360" w:lineRule="auto"/>
        <w:ind w:left="0" w:right="0" w:firstLine="624" w:firstLineChars="200"/>
        <w:outlineLvl w:val="2"/>
        <w:rPr>
          <w:highlight w:val="none"/>
        </w:rPr>
      </w:pPr>
      <w:r>
        <w:rPr>
          <w:spacing w:val="-4"/>
          <w:highlight w:val="none"/>
        </w:rPr>
        <w:t>（二）品德扣分</w:t>
      </w:r>
    </w:p>
    <w:p w14:paraId="6001FA95">
      <w:pPr>
        <w:pStyle w:val="4"/>
        <w:pageBreakBefore w:val="0"/>
        <w:wordWrap/>
        <w:overflowPunct/>
        <w:topLinePunct w:val="0"/>
        <w:bidi w:val="0"/>
        <w:spacing w:line="360" w:lineRule="auto"/>
        <w:ind w:left="0" w:right="0" w:firstLine="632" w:firstLineChars="200"/>
        <w:rPr>
          <w:highlight w:val="none"/>
        </w:rPr>
      </w:pPr>
      <w:r>
        <w:rPr>
          <w:spacing w:val="-2"/>
          <w:highlight w:val="none"/>
        </w:rPr>
        <w:t>1.凡政治学习、组织生活、年级级会和规定必须参加的劳动与集体活动（含升旗、早操</w:t>
      </w:r>
      <w:r>
        <w:rPr>
          <w:spacing w:val="-1"/>
          <w:highlight w:val="none"/>
        </w:rPr>
        <w:t>），</w:t>
      </w:r>
      <w:r>
        <w:rPr>
          <w:spacing w:val="-2"/>
          <w:highlight w:val="none"/>
        </w:rPr>
        <w:t>未经准假而缺席者（以班委确认的名单为准</w:t>
      </w:r>
      <w:r>
        <w:rPr>
          <w:spacing w:val="-1"/>
          <w:highlight w:val="none"/>
        </w:rPr>
        <w:t>），</w:t>
      </w:r>
      <w:r>
        <w:rPr>
          <w:spacing w:val="-2"/>
          <w:highlight w:val="none"/>
        </w:rPr>
        <w:t>每次</w:t>
      </w:r>
      <w:r>
        <w:rPr>
          <w:spacing w:val="-3"/>
          <w:highlight w:val="none"/>
        </w:rPr>
        <w:t>扣2分；</w:t>
      </w:r>
    </w:p>
    <w:p w14:paraId="489E1383">
      <w:pPr>
        <w:pStyle w:val="4"/>
        <w:pageBreakBefore w:val="0"/>
        <w:wordWrap/>
        <w:overflowPunct/>
        <w:topLinePunct w:val="0"/>
        <w:bidi w:val="0"/>
        <w:spacing w:line="360" w:lineRule="auto"/>
        <w:ind w:left="0" w:right="0" w:firstLine="636" w:firstLineChars="200"/>
        <w:rPr>
          <w:highlight w:val="none"/>
        </w:rPr>
      </w:pPr>
      <w:r>
        <w:rPr>
          <w:spacing w:val="-1"/>
          <w:highlight w:val="none"/>
        </w:rPr>
        <w:t>2.旷课者（以任课老师考勤记录为准）、不遵守课堂纪律(如上课聊天、玩手机和</w:t>
      </w:r>
      <w:r>
        <w:rPr>
          <w:spacing w:val="-4"/>
          <w:highlight w:val="none"/>
        </w:rPr>
        <w:t>手机突响、打电话和随便走位等)每次扣1分；</w:t>
      </w:r>
    </w:p>
    <w:p w14:paraId="4D49E642">
      <w:pPr>
        <w:pStyle w:val="4"/>
        <w:pageBreakBefore w:val="0"/>
        <w:wordWrap/>
        <w:overflowPunct/>
        <w:topLinePunct w:val="0"/>
        <w:bidi w:val="0"/>
        <w:spacing w:line="360" w:lineRule="auto"/>
        <w:ind w:left="0" w:right="0" w:firstLine="632" w:firstLineChars="200"/>
        <w:rPr>
          <w:highlight w:val="none"/>
        </w:rPr>
      </w:pPr>
      <w:r>
        <w:rPr>
          <w:spacing w:val="-2"/>
          <w:highlight w:val="none"/>
        </w:rPr>
        <w:t>3.因违规行为受到公开通报批评者扣10分；因宿舍脏、乱、差而受到学校、学院</w:t>
      </w:r>
      <w:r>
        <w:rPr>
          <w:spacing w:val="-5"/>
          <w:highlight w:val="none"/>
        </w:rPr>
        <w:t>老师公开批评的，该宿舍每人扣1分；</w:t>
      </w:r>
    </w:p>
    <w:p w14:paraId="46CC7F05">
      <w:pPr>
        <w:pStyle w:val="4"/>
        <w:pageBreakBefore w:val="0"/>
        <w:wordWrap/>
        <w:overflowPunct/>
        <w:topLinePunct w:val="0"/>
        <w:bidi w:val="0"/>
        <w:spacing w:line="360" w:lineRule="auto"/>
        <w:ind w:left="0" w:right="0" w:firstLine="624" w:firstLineChars="200"/>
        <w:rPr>
          <w:highlight w:val="none"/>
        </w:rPr>
      </w:pPr>
      <w:r>
        <w:rPr>
          <w:spacing w:val="-4"/>
          <w:highlight w:val="none"/>
        </w:rPr>
        <w:t>4.故意损坏公物者，每次扣5分；</w:t>
      </w:r>
    </w:p>
    <w:p w14:paraId="5E1022D4">
      <w:pPr>
        <w:pStyle w:val="4"/>
        <w:pageBreakBefore w:val="0"/>
        <w:wordWrap/>
        <w:overflowPunct/>
        <w:topLinePunct w:val="0"/>
        <w:bidi w:val="0"/>
        <w:spacing w:line="360" w:lineRule="auto"/>
        <w:ind w:left="0" w:right="0" w:firstLine="628" w:firstLineChars="200"/>
        <w:rPr>
          <w:highlight w:val="none"/>
        </w:rPr>
      </w:pPr>
      <w:r>
        <w:rPr>
          <w:spacing w:val="-3"/>
          <w:highlight w:val="none"/>
        </w:rPr>
        <w:t>5.不服从老师和管理人员管理、教育者，每次扣3分，态度恶劣者扣5分；</w:t>
      </w:r>
    </w:p>
    <w:p w14:paraId="13C5B571">
      <w:pPr>
        <w:pStyle w:val="4"/>
        <w:pageBreakBefore w:val="0"/>
        <w:wordWrap/>
        <w:overflowPunct/>
        <w:topLinePunct w:val="0"/>
        <w:bidi w:val="0"/>
        <w:spacing w:line="360" w:lineRule="auto"/>
        <w:ind w:left="0" w:right="0" w:firstLine="632" w:firstLineChars="200"/>
        <w:rPr>
          <w:highlight w:val="none"/>
        </w:rPr>
      </w:pPr>
      <w:r>
        <w:rPr>
          <w:spacing w:val="-2"/>
          <w:highlight w:val="none"/>
        </w:rPr>
        <w:t>6.违反国家、省、市、区、学校或学院有关防疫条例者，扣40分；</w:t>
      </w:r>
    </w:p>
    <w:p w14:paraId="57A165D5">
      <w:pPr>
        <w:pStyle w:val="4"/>
        <w:pageBreakBefore w:val="0"/>
        <w:wordWrap/>
        <w:overflowPunct/>
        <w:topLinePunct w:val="0"/>
        <w:bidi w:val="0"/>
        <w:spacing w:line="360" w:lineRule="auto"/>
        <w:ind w:left="0" w:right="0" w:firstLine="628" w:firstLineChars="200"/>
        <w:rPr>
          <w:highlight w:val="none"/>
        </w:rPr>
      </w:pPr>
      <w:r>
        <w:rPr>
          <w:spacing w:val="-3"/>
          <w:highlight w:val="none"/>
        </w:rPr>
        <w:t>7.被学校、学院通报批评者，分别扣40分、30分；</w:t>
      </w:r>
    </w:p>
    <w:p w14:paraId="0780CD15">
      <w:pPr>
        <w:pStyle w:val="4"/>
        <w:pageBreakBefore w:val="0"/>
        <w:wordWrap/>
        <w:overflowPunct/>
        <w:topLinePunct w:val="0"/>
        <w:bidi w:val="0"/>
        <w:spacing w:line="360" w:lineRule="auto"/>
        <w:ind w:left="0" w:right="0" w:firstLine="624" w:firstLineChars="200"/>
        <w:rPr>
          <w:highlight w:val="none"/>
        </w:rPr>
      </w:pPr>
      <w:r>
        <w:rPr>
          <w:spacing w:val="-4"/>
          <w:highlight w:val="none"/>
        </w:rPr>
        <w:t>8.考试违规行为每次扣60分；</w:t>
      </w:r>
    </w:p>
    <w:p w14:paraId="21F22E2D">
      <w:pPr>
        <w:pStyle w:val="4"/>
        <w:pageBreakBefore w:val="0"/>
        <w:wordWrap/>
        <w:overflowPunct/>
        <w:topLinePunct w:val="0"/>
        <w:bidi w:val="0"/>
        <w:spacing w:line="360" w:lineRule="auto"/>
        <w:ind w:left="0" w:right="0" w:firstLine="628" w:firstLineChars="200"/>
        <w:rPr>
          <w:highlight w:val="none"/>
        </w:rPr>
      </w:pPr>
      <w:r>
        <w:rPr>
          <w:spacing w:val="-3"/>
          <w:highlight w:val="none"/>
        </w:rPr>
        <w:t>9.违背学术规范与学术道德每次扣60分。</w:t>
      </w:r>
    </w:p>
    <w:p w14:paraId="1C6CA7FE">
      <w:pPr>
        <w:pStyle w:val="2"/>
        <w:bidi w:val="0"/>
        <w:rPr>
          <w:highlight w:val="none"/>
        </w:rPr>
      </w:pPr>
      <w:r>
        <w:rPr>
          <w:highlight w:val="none"/>
        </w:rPr>
        <w:t>第二条</w:t>
      </w:r>
      <w:r>
        <w:rPr>
          <w:rFonts w:hint="eastAsia"/>
          <w:highlight w:val="none"/>
          <w:lang w:val="en-US" w:eastAsia="zh-CN"/>
        </w:rPr>
        <w:t xml:space="preserve"> </w:t>
      </w:r>
      <w:r>
        <w:rPr>
          <w:highlight w:val="none"/>
        </w:rPr>
        <w:t>学业表现模块</w:t>
      </w:r>
    </w:p>
    <w:p w14:paraId="052D0669">
      <w:pPr>
        <w:pStyle w:val="4"/>
        <w:pageBreakBefore w:val="0"/>
        <w:wordWrap/>
        <w:overflowPunct/>
        <w:topLinePunct w:val="0"/>
        <w:bidi w:val="0"/>
        <w:spacing w:line="360" w:lineRule="auto"/>
        <w:ind w:left="0" w:right="0" w:firstLine="632" w:firstLineChars="200"/>
        <w:rPr>
          <w:highlight w:val="none"/>
        </w:rPr>
      </w:pPr>
      <w:r>
        <w:rPr>
          <w:spacing w:val="-2"/>
          <w:highlight w:val="none"/>
        </w:rPr>
        <w:t>学业表现包括学业成绩、学术研究、学科竞赛、创新发明、专业技能五个方面：</w:t>
      </w:r>
    </w:p>
    <w:p w14:paraId="77F21C89">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32" w:firstLineChars="200"/>
        <w:textAlignment w:val="baseline"/>
        <w:rPr>
          <w:highlight w:val="none"/>
        </w:rPr>
      </w:pPr>
      <w:r>
        <w:rPr>
          <w:spacing w:val="-2"/>
          <w:highlight w:val="none"/>
        </w:rPr>
        <w:t>学业表现模块分=学业成绩标准分×60%+学术研究、学科竞赛、创新发明、</w:t>
      </w:r>
      <w:r>
        <w:rPr>
          <w:spacing w:val="-3"/>
          <w:highlight w:val="none"/>
        </w:rPr>
        <w:t>专业技能</w:t>
      </w:r>
      <w:r>
        <w:rPr>
          <w:spacing w:val="-2"/>
          <w:highlight w:val="none"/>
        </w:rPr>
        <w:t>标准分总分×15%</w:t>
      </w:r>
    </w:p>
    <w:p w14:paraId="5E2C5AAC">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32" w:firstLineChars="200"/>
        <w:jc w:val="both"/>
        <w:textAlignment w:val="baseline"/>
        <w:rPr>
          <w:highlight w:val="none"/>
        </w:rPr>
      </w:pPr>
      <w:r>
        <w:rPr>
          <w:spacing w:val="-2"/>
          <w:highlight w:val="none"/>
        </w:rPr>
        <w:t>（学业成绩分=学年平均学分绩点折算分数；学业成绩标准分=学业成</w:t>
      </w:r>
      <w:r>
        <w:rPr>
          <w:spacing w:val="-3"/>
          <w:highlight w:val="none"/>
        </w:rPr>
        <w:t>绩分/本年级本</w:t>
      </w:r>
      <w:r>
        <w:rPr>
          <w:spacing w:val="-2"/>
          <w:highlight w:val="none"/>
        </w:rPr>
        <w:t>专业学业成绩最高分；学术研究、学科竞赛、创新发明、专业技能标准分之和=</w:t>
      </w:r>
      <w:r>
        <w:rPr>
          <w:spacing w:val="-3"/>
          <w:highlight w:val="none"/>
        </w:rPr>
        <w:t>学术</w:t>
      </w:r>
      <w:r>
        <w:rPr>
          <w:spacing w:val="-1"/>
          <w:highlight w:val="none"/>
        </w:rPr>
        <w:t>研究、学科竞赛、创新发明、专业技能分总分/本年级本专业学术</w:t>
      </w:r>
      <w:r>
        <w:rPr>
          <w:spacing w:val="-2"/>
          <w:highlight w:val="none"/>
        </w:rPr>
        <w:t>研究、学科竞赛、</w:t>
      </w:r>
      <w:r>
        <w:rPr>
          <w:spacing w:val="-1"/>
          <w:highlight w:val="none"/>
        </w:rPr>
        <w:t>创新发明、专业技能分总分最高分）</w:t>
      </w:r>
    </w:p>
    <w:p w14:paraId="6951D462">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32" w:firstLineChars="200"/>
        <w:textAlignment w:val="baseline"/>
        <w:rPr>
          <w:highlight w:val="none"/>
        </w:rPr>
      </w:pPr>
      <w:r>
        <w:rPr>
          <w:spacing w:val="-2"/>
          <w:highlight w:val="none"/>
        </w:rPr>
        <w:t>（一）学年平均学分绩点折算分数</w:t>
      </w:r>
    </w:p>
    <w:p w14:paraId="366B04FD">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32" w:firstLineChars="200"/>
        <w:textAlignment w:val="baseline"/>
        <w:rPr>
          <w:spacing w:val="-1"/>
          <w:highlight w:val="none"/>
        </w:rPr>
      </w:pPr>
      <w:r>
        <w:rPr>
          <w:spacing w:val="-2"/>
          <w:highlight w:val="none"/>
        </w:rPr>
        <w:t>学习成绩（包括必修、选修课程，不包括辅修课程）按</w:t>
      </w:r>
      <w:r>
        <w:rPr>
          <w:spacing w:val="-3"/>
          <w:highlight w:val="none"/>
        </w:rPr>
        <w:t>以下公式计算：</w:t>
      </w:r>
      <w:r>
        <w:rPr>
          <w:spacing w:val="-1"/>
          <w:highlight w:val="none"/>
        </w:rPr>
        <w:t>学年平均学分绩点折算分＝50＋学年平均学分绩点×10。例如：某生学年平均绩点为3.25，则其则算分为</w:t>
      </w:r>
      <w:r>
        <w:rPr>
          <w:rFonts w:hint="eastAsia"/>
          <w:spacing w:val="-1"/>
          <w:highlight w:val="none"/>
          <w:lang w:eastAsia="zh-CN"/>
        </w:rPr>
        <w:t>：</w:t>
      </w:r>
      <w:r>
        <w:rPr>
          <w:spacing w:val="-1"/>
          <w:highlight w:val="none"/>
        </w:rPr>
        <w:t>50</w:t>
      </w:r>
      <w:r>
        <w:rPr>
          <w:rFonts w:hint="eastAsia"/>
          <w:spacing w:val="-1"/>
          <w:highlight w:val="none"/>
          <w:lang w:val="en-US" w:eastAsia="zh-CN"/>
        </w:rPr>
        <w:t>+</w:t>
      </w:r>
      <w:r>
        <w:rPr>
          <w:spacing w:val="-1"/>
          <w:highlight w:val="none"/>
        </w:rPr>
        <w:t>3.25×10＝82.5。</w:t>
      </w:r>
    </w:p>
    <w:p w14:paraId="20B35559">
      <w:pPr>
        <w:pStyle w:val="4"/>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leftChars="0" w:right="0" w:rightChars="0" w:firstLine="628" w:firstLineChars="200"/>
        <w:textAlignment w:val="baseline"/>
        <w:rPr>
          <w:spacing w:val="-3"/>
          <w:highlight w:val="none"/>
        </w:rPr>
      </w:pPr>
      <w:r>
        <w:rPr>
          <w:rFonts w:hint="eastAsia" w:ascii="宋体" w:hAnsi="宋体" w:eastAsia="仿宋" w:cs="宋体"/>
          <w:snapToGrid w:val="0"/>
          <w:color w:val="000000"/>
          <w:spacing w:val="-3"/>
          <w:kern w:val="0"/>
          <w:sz w:val="32"/>
          <w:szCs w:val="24"/>
          <w:highlight w:val="none"/>
          <w:lang w:val="en-US" w:eastAsia="en-US" w:bidi="ar-SA"/>
        </w:rPr>
        <w:t>（二）</w:t>
      </w:r>
      <w:r>
        <w:rPr>
          <w:spacing w:val="-3"/>
          <w:highlight w:val="none"/>
        </w:rPr>
        <w:t>学术研究加分</w:t>
      </w:r>
    </w:p>
    <w:p w14:paraId="1243AEA3">
      <w:pPr>
        <w:pStyle w:val="4"/>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right="0" w:rightChars="0" w:firstLine="624" w:firstLineChars="200"/>
        <w:textAlignment w:val="baseline"/>
        <w:rPr>
          <w:highlight w:val="none"/>
        </w:rPr>
      </w:pPr>
      <w:r>
        <w:rPr>
          <w:spacing w:val="-4"/>
          <w:highlight w:val="none"/>
        </w:rPr>
        <w:t>1.科研课题加分</w:t>
      </w:r>
    </w:p>
    <w:p w14:paraId="0551022C">
      <w:pPr>
        <w:pStyle w:val="4"/>
        <w:pageBreakBefore w:val="0"/>
        <w:wordWrap/>
        <w:overflowPunct/>
        <w:topLinePunct w:val="0"/>
        <w:bidi w:val="0"/>
        <w:spacing w:line="360" w:lineRule="auto"/>
        <w:ind w:right="0" w:firstLine="636" w:firstLineChars="200"/>
        <w:jc w:val="both"/>
        <w:rPr>
          <w:highlight w:val="none"/>
        </w:rPr>
      </w:pPr>
      <w:r>
        <w:rPr>
          <w:spacing w:val="-1"/>
          <w:highlight w:val="none"/>
        </w:rPr>
        <w:t>（1）参加科研立项活动并完成全过程者，按国家、省、市级、校级、院级分别加</w:t>
      </w:r>
      <w:r>
        <w:rPr>
          <w:spacing w:val="-3"/>
          <w:highlight w:val="none"/>
        </w:rPr>
        <w:t>22、16、</w:t>
      </w:r>
      <w:r>
        <w:rPr>
          <w:color w:val="auto"/>
          <w:spacing w:val="-3"/>
          <w:highlight w:val="none"/>
        </w:rPr>
        <w:t>12、10、8分（按照成</w:t>
      </w:r>
      <w:r>
        <w:rPr>
          <w:spacing w:val="-3"/>
          <w:highlight w:val="none"/>
        </w:rPr>
        <w:t>功立项20</w:t>
      </w:r>
      <w:r>
        <w:rPr>
          <w:spacing w:val="-2"/>
          <w:highlight w:val="none"/>
        </w:rPr>
        <w:t>％，</w:t>
      </w:r>
      <w:r>
        <w:rPr>
          <w:spacing w:val="-3"/>
          <w:highlight w:val="none"/>
        </w:rPr>
        <w:t>通过中审50</w:t>
      </w:r>
      <w:r>
        <w:rPr>
          <w:spacing w:val="-2"/>
          <w:highlight w:val="none"/>
        </w:rPr>
        <w:t>％，</w:t>
      </w:r>
      <w:r>
        <w:rPr>
          <w:spacing w:val="-3"/>
          <w:highlight w:val="none"/>
        </w:rPr>
        <w:t>成功结题100％三个阶段</w:t>
      </w:r>
      <w:r>
        <w:rPr>
          <w:spacing w:val="-14"/>
          <w:highlight w:val="none"/>
        </w:rPr>
        <w:t>来加分</w:t>
      </w:r>
      <w:r>
        <w:rPr>
          <w:spacing w:val="-7"/>
          <w:highlight w:val="none"/>
        </w:rPr>
        <w:t>）；</w:t>
      </w:r>
    </w:p>
    <w:p w14:paraId="1EFFD407">
      <w:pPr>
        <w:pStyle w:val="4"/>
        <w:pageBreakBefore w:val="0"/>
        <w:wordWrap/>
        <w:overflowPunct/>
        <w:topLinePunct w:val="0"/>
        <w:bidi w:val="0"/>
        <w:spacing w:line="360" w:lineRule="auto"/>
        <w:ind w:left="0" w:right="0" w:firstLine="628" w:firstLineChars="200"/>
        <w:rPr>
          <w:highlight w:val="none"/>
        </w:rPr>
      </w:pPr>
      <w:r>
        <w:rPr>
          <w:spacing w:val="-3"/>
          <w:highlight w:val="none"/>
        </w:rPr>
        <w:t>（2）在校级评比中获得一、二、三等奖、优秀奖者另加4分、3分、2分、</w:t>
      </w:r>
      <w:r>
        <w:rPr>
          <w:spacing w:val="-2"/>
          <w:highlight w:val="none"/>
        </w:rPr>
        <w:t>1分；国家级获奖者按校级的3倍计分；省级获奖者按校级的2</w:t>
      </w:r>
      <w:r>
        <w:rPr>
          <w:spacing w:val="-3"/>
          <w:highlight w:val="none"/>
        </w:rPr>
        <w:t>倍计分；院级竞赛获奖</w:t>
      </w:r>
      <w:r>
        <w:rPr>
          <w:spacing w:val="-7"/>
          <w:highlight w:val="none"/>
        </w:rPr>
        <w:t>者按校级的50％计分；参加特色调研比赛（寒调不包括在内）并完成全过程</w:t>
      </w:r>
      <w:r>
        <w:rPr>
          <w:spacing w:val="-8"/>
          <w:highlight w:val="none"/>
        </w:rPr>
        <w:t>者，加1分。</w:t>
      </w:r>
    </w:p>
    <w:p w14:paraId="62A4CD25">
      <w:pPr>
        <w:pStyle w:val="4"/>
        <w:pageBreakBefore w:val="0"/>
        <w:wordWrap/>
        <w:overflowPunct/>
        <w:topLinePunct w:val="0"/>
        <w:bidi w:val="0"/>
        <w:spacing w:line="360" w:lineRule="auto"/>
        <w:ind w:right="0" w:firstLine="632" w:firstLineChars="200"/>
        <w:rPr>
          <w:highlight w:val="none"/>
        </w:rPr>
      </w:pPr>
      <w:r>
        <w:rPr>
          <w:spacing w:val="-2"/>
          <w:highlight w:val="none"/>
        </w:rPr>
        <w:t>（3）多人参与的课题，主持人按加分标准的100</w:t>
      </w:r>
      <w:r>
        <w:rPr>
          <w:spacing w:val="-3"/>
          <w:highlight w:val="none"/>
        </w:rPr>
        <w:t>%加分，其余成员按80%加</w:t>
      </w:r>
      <w:r>
        <w:rPr>
          <w:spacing w:val="-7"/>
          <w:highlight w:val="none"/>
        </w:rPr>
        <w:t>分。</w:t>
      </w:r>
    </w:p>
    <w:p w14:paraId="5C84BB45">
      <w:pPr>
        <w:pStyle w:val="4"/>
        <w:pageBreakBefore w:val="0"/>
        <w:wordWrap/>
        <w:overflowPunct/>
        <w:topLinePunct w:val="0"/>
        <w:bidi w:val="0"/>
        <w:spacing w:line="360" w:lineRule="auto"/>
        <w:ind w:right="0" w:firstLine="632" w:firstLineChars="200"/>
        <w:rPr>
          <w:highlight w:val="none"/>
        </w:rPr>
      </w:pPr>
      <w:r>
        <w:rPr>
          <w:spacing w:val="-2"/>
          <w:highlight w:val="none"/>
        </w:rPr>
        <w:t>2.论文类加分</w:t>
      </w:r>
    </w:p>
    <w:p w14:paraId="5FC371A8">
      <w:pPr>
        <w:pStyle w:val="4"/>
        <w:pageBreakBefore w:val="0"/>
        <w:wordWrap/>
        <w:overflowPunct/>
        <w:topLinePunct w:val="0"/>
        <w:bidi w:val="0"/>
        <w:spacing w:line="360" w:lineRule="auto"/>
        <w:ind w:right="0" w:firstLine="628" w:firstLineChars="200"/>
        <w:rPr>
          <w:rFonts w:hint="eastAsia" w:ascii="方正仿宋_GB2312" w:hAnsi="方正仿宋_GB2312" w:eastAsia="方正仿宋_GB2312" w:cs="方正仿宋_GB2312"/>
          <w:spacing w:val="-3"/>
          <w:highlight w:val="none"/>
          <w:lang w:val="en-US" w:eastAsia="zh-CN"/>
        </w:rPr>
      </w:pPr>
      <w:r>
        <w:rPr>
          <w:spacing w:val="-3"/>
          <w:highlight w:val="none"/>
        </w:rPr>
        <w:t>（1）</w:t>
      </w:r>
      <w:r>
        <w:rPr>
          <w:rFonts w:hint="eastAsia"/>
          <w:spacing w:val="-3"/>
          <w:highlight w:val="none"/>
        </w:rPr>
        <w:t>顶尖</w:t>
      </w:r>
      <w:r>
        <w:rPr>
          <w:rFonts w:hint="eastAsia"/>
          <w:spacing w:val="-3"/>
          <w:highlight w:val="none"/>
          <w:lang w:val="en-US" w:eastAsia="zh-CN"/>
        </w:rPr>
        <w:t>A、</w:t>
      </w:r>
      <w:r>
        <w:rPr>
          <w:rFonts w:hint="eastAsia"/>
          <w:spacing w:val="-3"/>
          <w:highlight w:val="none"/>
        </w:rPr>
        <w:t>B层次</w:t>
      </w:r>
      <w:r>
        <w:rPr>
          <w:rFonts w:hint="eastAsia"/>
          <w:spacing w:val="-3"/>
          <w:highlight w:val="none"/>
          <w:lang w:eastAsia="zh-CN"/>
        </w:rPr>
        <w:t>、一类层次期刊、二类层次期刊</w:t>
      </w:r>
      <w:r>
        <w:rPr>
          <w:spacing w:val="-3"/>
          <w:highlight w:val="none"/>
        </w:rPr>
        <w:t>（刊物分类以学校有关文件为准）上发表学术论文，</w:t>
      </w:r>
      <w:r>
        <w:rPr>
          <w:spacing w:val="-4"/>
          <w:highlight w:val="none"/>
        </w:rPr>
        <w:t>分别加25分、20分、15分；</w:t>
      </w:r>
      <w:r>
        <w:rPr>
          <w:rFonts w:hint="eastAsia" w:ascii="宋体" w:hAnsi="宋体" w:cs="宋体"/>
          <w:spacing w:val="-3"/>
          <w:sz w:val="32"/>
          <w:szCs w:val="24"/>
          <w:highlight w:val="none"/>
          <w:shd w:val="clear"/>
          <w:lang w:eastAsia="zh-CN"/>
        </w:rPr>
        <w:t>属于南大核心但不属于上述层次期刊</w:t>
      </w:r>
      <w:r>
        <w:rPr>
          <w:rFonts w:hint="eastAsia"/>
          <w:spacing w:val="-3"/>
          <w:highlight w:val="none"/>
          <w:lang w:eastAsia="zh-CN"/>
        </w:rPr>
        <w:t>论文计14分，北大</w:t>
      </w:r>
      <w:r>
        <w:rPr>
          <w:rFonts w:hint="eastAsia"/>
          <w:spacing w:val="-3"/>
          <w:highlight w:val="none"/>
          <w:lang w:val="en-US" w:eastAsia="zh-CN"/>
        </w:rPr>
        <w:t>核心或</w:t>
      </w:r>
      <w:r>
        <w:rPr>
          <w:rFonts w:hint="eastAsia"/>
          <w:spacing w:val="-3"/>
          <w:highlight w:val="none"/>
          <w:lang w:eastAsia="zh-CN"/>
        </w:rPr>
        <w:t>CSSCI（含拓展版）期刊加12分</w:t>
      </w:r>
      <w:r>
        <w:rPr>
          <w:rFonts w:hint="eastAsia"/>
          <w:spacing w:val="-3"/>
          <w:highlight w:val="none"/>
          <w:lang w:eastAsia="zh-CN"/>
        </w:rPr>
        <w:t>（</w:t>
      </w:r>
      <w:r>
        <w:rPr>
          <w:rFonts w:hint="eastAsia"/>
          <w:spacing w:val="-3"/>
          <w:highlight w:val="none"/>
          <w:lang w:val="en-US" w:eastAsia="zh-CN"/>
        </w:rPr>
        <w:t>详见附件四）</w:t>
      </w:r>
      <w:r>
        <w:rPr>
          <w:rFonts w:hint="eastAsia"/>
          <w:spacing w:val="-3"/>
          <w:highlight w:val="none"/>
          <w:lang w:eastAsia="zh-CN"/>
        </w:rPr>
        <w:t>；</w:t>
      </w:r>
    </w:p>
    <w:p w14:paraId="00C996E2">
      <w:pPr>
        <w:pStyle w:val="4"/>
        <w:pageBreakBefore w:val="0"/>
        <w:wordWrap/>
        <w:overflowPunct/>
        <w:topLinePunct w:val="0"/>
        <w:bidi w:val="0"/>
        <w:spacing w:line="360" w:lineRule="auto"/>
        <w:ind w:left="0" w:right="0" w:firstLine="628" w:firstLineChars="200"/>
        <w:rPr>
          <w:highlight w:val="none"/>
        </w:rPr>
      </w:pPr>
      <w:r>
        <w:rPr>
          <w:spacing w:val="-3"/>
          <w:highlight w:val="none"/>
        </w:rPr>
        <w:t>（2）在公开出版发行的刊物上(有CN或ISSN登记号)</w:t>
      </w:r>
      <w:r>
        <w:rPr>
          <w:spacing w:val="-4"/>
          <w:highlight w:val="none"/>
        </w:rPr>
        <w:t>发表专业学术论文者，</w:t>
      </w:r>
      <w:r>
        <w:rPr>
          <w:spacing w:val="-3"/>
          <w:highlight w:val="none"/>
        </w:rPr>
        <w:t>每篇加4分，该项累计加分超过12分者仍按12分计算</w:t>
      </w:r>
      <w:r>
        <w:rPr>
          <w:spacing w:val="-4"/>
          <w:highlight w:val="none"/>
        </w:rPr>
        <w:t>；在校级、院级刊物上发表的学</w:t>
      </w:r>
      <w:r>
        <w:rPr>
          <w:spacing w:val="-6"/>
          <w:highlight w:val="none"/>
        </w:rPr>
        <w:t>术论文，每篇加3分；</w:t>
      </w:r>
    </w:p>
    <w:p w14:paraId="33DBE5FB">
      <w:pPr>
        <w:pStyle w:val="4"/>
        <w:pageBreakBefore w:val="0"/>
        <w:wordWrap/>
        <w:overflowPunct/>
        <w:topLinePunct w:val="0"/>
        <w:bidi w:val="0"/>
        <w:spacing w:line="360" w:lineRule="auto"/>
        <w:ind w:left="0" w:right="0" w:firstLine="636" w:firstLineChars="200"/>
        <w:rPr>
          <w:highlight w:val="none"/>
        </w:rPr>
      </w:pPr>
      <w:r>
        <w:rPr>
          <w:spacing w:val="-1"/>
          <w:highlight w:val="none"/>
        </w:rPr>
        <w:t>（3）专业学术论文被国际性、全国性、省级和市级学术会议采用者，每篇</w:t>
      </w:r>
      <w:r>
        <w:rPr>
          <w:spacing w:val="-4"/>
          <w:highlight w:val="none"/>
        </w:rPr>
        <w:t>分别加8分、6分、5分、4分。同一篇论文被多家刊物转载或多次学术会议采用，按最高等级刊物的标准计分一次；</w:t>
      </w:r>
    </w:p>
    <w:p w14:paraId="1508AB33">
      <w:pPr>
        <w:pStyle w:val="4"/>
        <w:pageBreakBefore w:val="0"/>
        <w:wordWrap/>
        <w:overflowPunct/>
        <w:topLinePunct w:val="0"/>
        <w:bidi w:val="0"/>
        <w:spacing w:line="360" w:lineRule="auto"/>
        <w:ind w:left="0" w:right="0" w:firstLine="628" w:firstLineChars="200"/>
        <w:rPr>
          <w:highlight w:val="none"/>
        </w:rPr>
      </w:pPr>
      <w:r>
        <w:rPr>
          <w:spacing w:val="-3"/>
          <w:highlight w:val="none"/>
        </w:rPr>
        <w:t>（4）在学术论文评比中获得一、二、三等奖者，国家级加12分、10分、8</w:t>
      </w:r>
      <w:r>
        <w:rPr>
          <w:spacing w:val="-2"/>
          <w:highlight w:val="none"/>
        </w:rPr>
        <w:t>分，省、市级加8分、7分、6分，校级加</w:t>
      </w:r>
      <w:r>
        <w:rPr>
          <w:spacing w:val="-3"/>
          <w:highlight w:val="none"/>
        </w:rPr>
        <w:t>6分、5分、4分，学院级分别加4分、3分、</w:t>
      </w:r>
      <w:r>
        <w:rPr>
          <w:spacing w:val="-16"/>
          <w:highlight w:val="none"/>
        </w:rPr>
        <w:t>2分；</w:t>
      </w:r>
    </w:p>
    <w:p w14:paraId="389288B6">
      <w:pPr>
        <w:pStyle w:val="4"/>
        <w:pageBreakBefore w:val="0"/>
        <w:wordWrap/>
        <w:overflowPunct/>
        <w:topLinePunct w:val="0"/>
        <w:bidi w:val="0"/>
        <w:spacing w:line="360" w:lineRule="auto"/>
        <w:ind w:left="0" w:right="0" w:firstLine="636" w:firstLineChars="200"/>
        <w:rPr>
          <w:highlight w:val="none"/>
        </w:rPr>
      </w:pPr>
      <w:r>
        <w:rPr>
          <w:spacing w:val="-1"/>
          <w:highlight w:val="none"/>
        </w:rPr>
        <w:t>（5）在公开出版发行的刊物上</w:t>
      </w:r>
      <w:r>
        <w:rPr>
          <w:spacing w:val="-2"/>
          <w:highlight w:val="none"/>
        </w:rPr>
        <w:t>发表学术论文，如</w:t>
      </w:r>
      <w:r>
        <w:rPr>
          <w:highlight w:val="none"/>
        </w:rPr>
        <w:t>第一作者为本校教师，作为第二作者的学生按</w:t>
      </w:r>
      <w:r>
        <w:rPr>
          <w:spacing w:val="-1"/>
          <w:highlight w:val="none"/>
        </w:rPr>
        <w:t>第一作者加分；其他情况下，如有两个作者，第一作者、第二作者分别按70%、30%加分；如有三个及以上作者，第</w:t>
      </w:r>
      <w:r>
        <w:rPr>
          <w:spacing w:val="-2"/>
          <w:highlight w:val="none"/>
        </w:rPr>
        <w:t>一作者50%、</w:t>
      </w:r>
      <w:r>
        <w:rPr>
          <w:spacing w:val="-3"/>
          <w:highlight w:val="none"/>
        </w:rPr>
        <w:t>第二作者30%、其余作者平分20%；</w:t>
      </w:r>
    </w:p>
    <w:p w14:paraId="6E0D7DF2">
      <w:pPr>
        <w:pStyle w:val="4"/>
        <w:pageBreakBefore w:val="0"/>
        <w:wordWrap/>
        <w:overflowPunct/>
        <w:topLinePunct w:val="0"/>
        <w:bidi w:val="0"/>
        <w:spacing w:line="360" w:lineRule="auto"/>
        <w:ind w:left="0" w:right="0" w:firstLine="632" w:firstLineChars="200"/>
        <w:rPr>
          <w:spacing w:val="-3"/>
          <w:highlight w:val="none"/>
        </w:rPr>
      </w:pPr>
      <w:r>
        <w:rPr>
          <w:spacing w:val="-2"/>
          <w:highlight w:val="none"/>
        </w:rPr>
        <w:t>（6）科研成果获得国家专利、国家软件著作权者，</w:t>
      </w:r>
      <w:r>
        <w:rPr>
          <w:spacing w:val="-3"/>
          <w:highlight w:val="none"/>
        </w:rPr>
        <w:t>每项加15分。</w:t>
      </w:r>
    </w:p>
    <w:p w14:paraId="1AAF93A9">
      <w:pPr>
        <w:pStyle w:val="4"/>
        <w:pageBreakBefore w:val="0"/>
        <w:wordWrap/>
        <w:overflowPunct/>
        <w:topLinePunct w:val="0"/>
        <w:bidi w:val="0"/>
        <w:spacing w:line="360" w:lineRule="auto"/>
        <w:ind w:right="0" w:firstLine="500" w:firstLineChars="0"/>
        <w:rPr>
          <w:rFonts w:hint="eastAsia" w:ascii="仿宋" w:hAnsi="仿宋" w:cs="仿宋"/>
          <w:snapToGrid w:val="0"/>
          <w:color w:val="000000"/>
          <w:kern w:val="0"/>
          <w:sz w:val="32"/>
          <w:szCs w:val="32"/>
          <w:highlight w:val="none"/>
          <w:lang w:val="en-US" w:eastAsia="zh-CN" w:bidi="ar"/>
        </w:rPr>
      </w:pPr>
      <w:r>
        <w:rPr>
          <w:rFonts w:hint="eastAsia"/>
          <w:highlight w:val="none"/>
          <w:lang w:val="en-US" w:eastAsia="zh-CN"/>
        </w:rPr>
        <w:t>3.咨政报告类加分：</w:t>
      </w:r>
    </w:p>
    <w:p w14:paraId="02E9AC85">
      <w:pPr>
        <w:pStyle w:val="4"/>
        <w:pageBreakBefore w:val="0"/>
        <w:wordWrap/>
        <w:overflowPunct/>
        <w:topLinePunct w:val="0"/>
        <w:bidi w:val="0"/>
        <w:spacing w:line="360" w:lineRule="auto"/>
        <w:ind w:right="0" w:firstLine="500" w:firstLineChars="0"/>
        <w:rPr>
          <w:rFonts w:hint="eastAsia" w:ascii="仿宋" w:hAnsi="仿宋" w:eastAsia="仿宋" w:cs="仿宋"/>
          <w:sz w:val="32"/>
          <w:szCs w:val="32"/>
          <w:highlight w:val="none"/>
        </w:rPr>
      </w:pPr>
      <w:r>
        <w:rPr>
          <w:rFonts w:hint="eastAsia" w:ascii="仿宋" w:hAnsi="仿宋" w:cs="仿宋"/>
          <w:snapToGrid w:val="0"/>
          <w:color w:val="000000"/>
          <w:kern w:val="0"/>
          <w:sz w:val="32"/>
          <w:szCs w:val="32"/>
          <w:highlight w:val="none"/>
          <w:lang w:val="en-US" w:eastAsia="zh-CN" w:bidi="ar"/>
        </w:rPr>
        <w:t>（1）按照以下标准</w:t>
      </w:r>
      <w:r>
        <w:rPr>
          <w:rFonts w:hint="eastAsia" w:ascii="仿宋" w:hAnsi="仿宋" w:eastAsia="仿宋" w:cs="仿宋"/>
          <w:snapToGrid w:val="0"/>
          <w:color w:val="000000"/>
          <w:kern w:val="0"/>
          <w:sz w:val="32"/>
          <w:szCs w:val="32"/>
          <w:highlight w:val="none"/>
          <w:lang w:val="en-US" w:eastAsia="zh-CN" w:bidi="ar"/>
        </w:rPr>
        <w:t>确定</w:t>
      </w:r>
      <w:r>
        <w:rPr>
          <w:rFonts w:hint="eastAsia" w:ascii="仿宋" w:hAnsi="仿宋" w:cs="仿宋"/>
          <w:snapToGrid w:val="0"/>
          <w:color w:val="000000"/>
          <w:kern w:val="0"/>
          <w:sz w:val="32"/>
          <w:szCs w:val="32"/>
          <w:highlight w:val="none"/>
          <w:lang w:val="en-US" w:eastAsia="zh-CN" w:bidi="ar"/>
        </w:rPr>
        <w:t>咨</w:t>
      </w:r>
      <w:r>
        <w:rPr>
          <w:rFonts w:hint="eastAsia" w:ascii="仿宋" w:hAnsi="仿宋" w:eastAsia="仿宋" w:cs="仿宋"/>
          <w:snapToGrid w:val="0"/>
          <w:color w:val="000000"/>
          <w:kern w:val="0"/>
          <w:sz w:val="32"/>
          <w:szCs w:val="32"/>
          <w:highlight w:val="none"/>
          <w:lang w:val="en-US" w:eastAsia="zh-CN" w:bidi="ar"/>
        </w:rPr>
        <w:t>政报告的等级</w:t>
      </w:r>
      <w:r>
        <w:rPr>
          <w:rFonts w:hint="eastAsia" w:ascii="仿宋" w:hAnsi="仿宋" w:cs="仿宋"/>
          <w:snapToGrid w:val="0"/>
          <w:color w:val="000000"/>
          <w:kern w:val="0"/>
          <w:sz w:val="32"/>
          <w:szCs w:val="32"/>
          <w:highlight w:val="none"/>
          <w:lang w:val="en-US" w:eastAsia="zh-CN" w:bidi="ar"/>
        </w:rPr>
        <w:t>：</w:t>
      </w:r>
    </w:p>
    <w:p w14:paraId="2E9C3F38">
      <w:pPr>
        <w:pStyle w:val="4"/>
        <w:pageBreakBefore w:val="0"/>
        <w:wordWrap/>
        <w:overflowPunct/>
        <w:topLinePunct w:val="0"/>
        <w:bidi w:val="0"/>
        <w:spacing w:line="360" w:lineRule="auto"/>
        <w:ind w:left="0" w:right="0" w:firstLine="640" w:firstLineChars="200"/>
        <w:rPr>
          <w:rFonts w:hint="default"/>
          <w:highlight w:val="none"/>
          <w:lang w:val="en-US" w:eastAsia="zh-CN"/>
        </w:rPr>
      </w:pPr>
    </w:p>
    <w:p w14:paraId="6142B561">
      <w:pPr>
        <w:pStyle w:val="3"/>
        <w:bidi w:val="0"/>
        <w:ind w:firstLine="640" w:firstLineChars="200"/>
        <w:rPr>
          <w:rFonts w:hint="eastAsia" w:ascii="仿宋" w:hAnsi="仿宋" w:eastAsia="仿宋" w:cs="仿宋"/>
          <w:highlight w:val="none"/>
        </w:rPr>
      </w:pPr>
      <w:r>
        <w:rPr>
          <w:rFonts w:hint="eastAsia" w:ascii="仿宋" w:hAnsi="仿宋" w:eastAsia="仿宋" w:cs="仿宋"/>
          <w:highlight w:val="none"/>
          <w:lang w:val="en-US" w:eastAsia="zh-CN"/>
        </w:rPr>
        <w:t>①</w:t>
      </w:r>
      <w:r>
        <w:rPr>
          <w:rFonts w:hint="eastAsia" w:ascii="仿宋" w:hAnsi="仿宋" w:eastAsia="仿宋" w:cs="仿宋"/>
          <w:highlight w:val="none"/>
        </w:rPr>
        <w:t>顶尖层次</w:t>
      </w:r>
    </w:p>
    <w:p w14:paraId="2A948FD7">
      <w:pPr>
        <w:pStyle w:val="3"/>
        <w:bidi w:val="0"/>
        <w:ind w:firstLine="640" w:firstLineChars="200"/>
        <w:rPr>
          <w:rFonts w:hint="eastAsia" w:ascii="仿宋" w:hAnsi="仿宋" w:eastAsia="仿宋" w:cs="仿宋"/>
          <w:highlight w:val="none"/>
        </w:rPr>
      </w:pPr>
      <w:r>
        <w:rPr>
          <w:rFonts w:hint="eastAsia" w:ascii="仿宋" w:hAnsi="仿宋" w:eastAsia="仿宋" w:cs="仿宋"/>
          <w:highlight w:val="none"/>
        </w:rPr>
        <w:t>被中央政治局常委及以上领导正面肯定性批示的咨询报告。</w:t>
      </w:r>
    </w:p>
    <w:p w14:paraId="78C401D8">
      <w:pPr>
        <w:pStyle w:val="3"/>
        <w:bidi w:val="0"/>
        <w:ind w:firstLine="640" w:firstLineChars="200"/>
        <w:rPr>
          <w:rFonts w:hint="eastAsia" w:ascii="仿宋" w:hAnsi="仿宋" w:eastAsia="仿宋" w:cs="仿宋"/>
          <w:highlight w:val="none"/>
        </w:rPr>
      </w:pPr>
      <w:r>
        <w:rPr>
          <w:rFonts w:hint="eastAsia" w:ascii="仿宋" w:hAnsi="仿宋" w:eastAsia="仿宋" w:cs="仿宋"/>
          <w:highlight w:val="none"/>
          <w:lang w:val="en-US" w:eastAsia="zh-CN"/>
        </w:rPr>
        <w:t>②</w:t>
      </w:r>
      <w:r>
        <w:rPr>
          <w:rFonts w:hint="eastAsia" w:ascii="仿宋" w:hAnsi="仿宋" w:eastAsia="仿宋" w:cs="仿宋"/>
          <w:highlight w:val="none"/>
        </w:rPr>
        <w:t>一类层次</w:t>
      </w:r>
    </w:p>
    <w:p w14:paraId="0407273D">
      <w:pPr>
        <w:pStyle w:val="3"/>
        <w:bidi w:val="0"/>
        <w:ind w:firstLine="640" w:firstLineChars="200"/>
        <w:rPr>
          <w:rFonts w:hint="eastAsia" w:ascii="仿宋" w:hAnsi="仿宋" w:eastAsia="仿宋" w:cs="仿宋"/>
          <w:highlight w:val="none"/>
        </w:rPr>
      </w:pPr>
      <w:r>
        <w:rPr>
          <w:rFonts w:hint="eastAsia" w:ascii="仿宋" w:hAnsi="仿宋" w:eastAsia="仿宋" w:cs="仿宋"/>
          <w:highlight w:val="none"/>
        </w:rPr>
        <w:t>被中央政治局委员或副国级领导正面肯定性批示的咨询报告;被中共中央办公厅、国务院办公厅、全国人大和全国政协采用或内刊刊登的决策咨询报告或立法草案。</w:t>
      </w:r>
    </w:p>
    <w:p w14:paraId="29502BD2">
      <w:pPr>
        <w:pStyle w:val="3"/>
        <w:bidi w:val="0"/>
        <w:ind w:firstLine="640" w:firstLineChars="200"/>
        <w:rPr>
          <w:rFonts w:hint="eastAsia" w:ascii="仿宋" w:hAnsi="仿宋" w:eastAsia="仿宋" w:cs="仿宋"/>
          <w:highlight w:val="none"/>
        </w:rPr>
      </w:pPr>
      <w:r>
        <w:rPr>
          <w:rFonts w:hint="eastAsia" w:ascii="仿宋" w:hAnsi="仿宋" w:eastAsia="仿宋" w:cs="仿宋"/>
          <w:highlight w:val="none"/>
          <w:lang w:val="en-US" w:eastAsia="zh-CN"/>
        </w:rPr>
        <w:t>③</w:t>
      </w:r>
      <w:r>
        <w:rPr>
          <w:rFonts w:hint="eastAsia" w:ascii="仿宋" w:hAnsi="仿宋" w:eastAsia="仿宋" w:cs="仿宋"/>
          <w:highlight w:val="none"/>
        </w:rPr>
        <w:t>二类层次</w:t>
      </w:r>
    </w:p>
    <w:p w14:paraId="50DFDCAB">
      <w:pPr>
        <w:pStyle w:val="3"/>
        <w:bidi w:val="0"/>
        <w:ind w:firstLine="640" w:firstLineChars="200"/>
        <w:rPr>
          <w:rFonts w:hint="eastAsia" w:ascii="仿宋" w:hAnsi="仿宋" w:eastAsia="仿宋" w:cs="仿宋"/>
          <w:highlight w:val="none"/>
        </w:rPr>
      </w:pPr>
      <w:r>
        <w:rPr>
          <w:rFonts w:hint="eastAsia" w:ascii="仿宋" w:hAnsi="仿宋" w:eastAsia="仿宋" w:cs="仿宋"/>
          <w:highlight w:val="none"/>
        </w:rPr>
        <w:t>被省部级正职领导正面肯定性批示的咨询报告;被省部级机构采用或《观点摘编》《中国社会科学》(内部文稿)采用的咨询报告;在全国哲学社会科学工作办公室《成果要报》上刊登的咨询报告;在《教育部简报(高校智库专刊)》上刊登的咨询报告;在《新华社内参》《人民日报内参》《光明日报内参》上刊登的决策咨询报告或立法草案。</w:t>
      </w:r>
    </w:p>
    <w:p w14:paraId="7F3E7899">
      <w:pPr>
        <w:pStyle w:val="2"/>
        <w:bidi w:val="0"/>
        <w:rPr>
          <w:rFonts w:hint="eastAsia" w:ascii="仿宋" w:hAnsi="仿宋" w:eastAsia="仿宋" w:cs="仿宋"/>
          <w:highlight w:val="none"/>
          <w:lang w:eastAsia="zh-CN"/>
        </w:rPr>
      </w:pPr>
      <w:r>
        <w:rPr>
          <w:rFonts w:hint="eastAsia" w:ascii="仿宋" w:hAnsi="仿宋" w:eastAsia="仿宋" w:cs="仿宋"/>
          <w:highlight w:val="none"/>
          <w:lang w:val="en-US" w:eastAsia="zh-CN"/>
        </w:rPr>
        <w:t>（2）顶尖层级、一类层级、二类层级的咨政报告，分别加20分、15分、14分。</w:t>
      </w:r>
    </w:p>
    <w:p w14:paraId="1EA602AC">
      <w:pPr>
        <w:pStyle w:val="3"/>
        <w:bidi w:val="0"/>
        <w:ind w:firstLine="640" w:firstLineChars="200"/>
        <w:rPr>
          <w:highlight w:val="none"/>
        </w:rPr>
      </w:pPr>
      <w:r>
        <w:rPr>
          <w:highlight w:val="none"/>
        </w:rPr>
        <w:t>（三）学科竞赛加分</w:t>
      </w:r>
    </w:p>
    <w:p w14:paraId="6A19F709">
      <w:pPr>
        <w:pStyle w:val="4"/>
        <w:pageBreakBefore w:val="0"/>
        <w:wordWrap/>
        <w:overflowPunct/>
        <w:topLinePunct w:val="0"/>
        <w:bidi w:val="0"/>
        <w:spacing w:line="360" w:lineRule="auto"/>
        <w:ind w:right="0" w:firstLine="588" w:firstLineChars="200"/>
        <w:jc w:val="both"/>
        <w:rPr>
          <w:highlight w:val="none"/>
        </w:rPr>
      </w:pPr>
      <w:r>
        <w:rPr>
          <w:spacing w:val="-13"/>
          <w:highlight w:val="none"/>
        </w:rPr>
        <w:t>1.国际、国家级竞赛，获特等、一、二、</w:t>
      </w:r>
      <w:r>
        <w:rPr>
          <w:spacing w:val="-14"/>
          <w:highlight w:val="none"/>
        </w:rPr>
        <w:t>三等奖和优胜奖者，分别计40分、35分、</w:t>
      </w:r>
      <w:r>
        <w:rPr>
          <w:spacing w:val="-7"/>
          <w:highlight w:val="none"/>
        </w:rPr>
        <w:t>30分、25分、22分；</w:t>
      </w:r>
    </w:p>
    <w:p w14:paraId="5B2B496B">
      <w:pPr>
        <w:pStyle w:val="4"/>
        <w:pageBreakBefore w:val="0"/>
        <w:wordWrap/>
        <w:overflowPunct/>
        <w:topLinePunct w:val="0"/>
        <w:bidi w:val="0"/>
        <w:spacing w:line="360" w:lineRule="auto"/>
        <w:ind w:left="0" w:right="0" w:firstLine="500" w:firstLineChars="0"/>
        <w:jc w:val="both"/>
        <w:rPr>
          <w:highlight w:val="none"/>
        </w:rPr>
      </w:pPr>
      <w:r>
        <w:rPr>
          <w:spacing w:val="-3"/>
          <w:highlight w:val="none"/>
        </w:rPr>
        <w:t>2.省级竞赛，获特等、一、二、三等奖和优胜奖者，分别计22分、19分、16分、</w:t>
      </w:r>
      <w:r>
        <w:rPr>
          <w:spacing w:val="-10"/>
          <w:highlight w:val="none"/>
        </w:rPr>
        <w:t>13分、12分；</w:t>
      </w:r>
    </w:p>
    <w:p w14:paraId="0C6046B9">
      <w:pPr>
        <w:pStyle w:val="4"/>
        <w:pageBreakBefore w:val="0"/>
        <w:wordWrap/>
        <w:overflowPunct/>
        <w:topLinePunct w:val="0"/>
        <w:bidi w:val="0"/>
        <w:spacing w:line="360" w:lineRule="auto"/>
        <w:ind w:left="0" w:right="0" w:firstLine="500" w:firstLineChars="0"/>
        <w:jc w:val="both"/>
        <w:rPr>
          <w:rFonts w:hint="eastAsia"/>
          <w:spacing w:val="-11"/>
          <w:highlight w:val="none"/>
          <w:lang w:val="en-US" w:eastAsia="zh-CN"/>
        </w:rPr>
      </w:pPr>
      <w:r>
        <w:rPr>
          <w:spacing w:val="-3"/>
          <w:highlight w:val="none"/>
        </w:rPr>
        <w:t>3.市级竞赛，获特等、一、二、三等奖和优胜奖者，分别计16分、14分、12分、</w:t>
      </w:r>
      <w:r>
        <w:rPr>
          <w:spacing w:val="-11"/>
          <w:highlight w:val="none"/>
        </w:rPr>
        <w:t>10分、9分；</w:t>
      </w:r>
      <w:r>
        <w:rPr>
          <w:rFonts w:hint="eastAsia"/>
          <w:spacing w:val="-11"/>
          <w:highlight w:val="none"/>
          <w:lang w:val="en-US" w:eastAsia="zh-CN"/>
        </w:rPr>
        <w:tab/>
      </w:r>
    </w:p>
    <w:p w14:paraId="4A483179">
      <w:pPr>
        <w:pStyle w:val="4"/>
        <w:pageBreakBefore w:val="0"/>
        <w:wordWrap/>
        <w:overflowPunct/>
        <w:topLinePunct w:val="0"/>
        <w:bidi w:val="0"/>
        <w:spacing w:line="360" w:lineRule="auto"/>
        <w:ind w:left="0" w:right="0" w:firstLine="500" w:firstLineChars="0"/>
        <w:rPr>
          <w:highlight w:val="none"/>
        </w:rPr>
      </w:pPr>
      <w:r>
        <w:rPr>
          <w:spacing w:val="-1"/>
          <w:highlight w:val="none"/>
        </w:rPr>
        <w:t>4.校级竞赛，未获奖者加2分；获特等、一、二、三等奖和</w:t>
      </w:r>
      <w:r>
        <w:rPr>
          <w:spacing w:val="-2"/>
          <w:highlight w:val="none"/>
        </w:rPr>
        <w:t>优胜奖者，分别计12</w:t>
      </w:r>
      <w:r>
        <w:rPr>
          <w:spacing w:val="-6"/>
          <w:highlight w:val="none"/>
        </w:rPr>
        <w:t>分、10分、8分、6分、5分；</w:t>
      </w:r>
    </w:p>
    <w:p w14:paraId="2BAF155B">
      <w:pPr>
        <w:pStyle w:val="4"/>
        <w:pageBreakBefore w:val="0"/>
        <w:wordWrap/>
        <w:overflowPunct/>
        <w:topLinePunct w:val="0"/>
        <w:bidi w:val="0"/>
        <w:spacing w:line="360" w:lineRule="auto"/>
        <w:ind w:left="0" w:right="0" w:firstLine="500" w:firstLineChars="0"/>
        <w:rPr>
          <w:highlight w:val="none"/>
        </w:rPr>
      </w:pPr>
      <w:r>
        <w:rPr>
          <w:spacing w:val="-8"/>
          <w:highlight w:val="none"/>
        </w:rPr>
        <w:t>5.院级竞赛，未获奖者加0.5分；获特等</w:t>
      </w:r>
      <w:r>
        <w:rPr>
          <w:spacing w:val="-9"/>
          <w:highlight w:val="none"/>
        </w:rPr>
        <w:t>、一、二、三等奖和优胜奖者，分别计5</w:t>
      </w:r>
      <w:r>
        <w:rPr>
          <w:spacing w:val="-6"/>
          <w:highlight w:val="none"/>
        </w:rPr>
        <w:t>分、4分、3分、2分、1分；</w:t>
      </w:r>
    </w:p>
    <w:p w14:paraId="52FFC24F">
      <w:pPr>
        <w:pStyle w:val="4"/>
        <w:pageBreakBefore w:val="0"/>
        <w:wordWrap/>
        <w:overflowPunct/>
        <w:topLinePunct w:val="0"/>
        <w:bidi w:val="0"/>
        <w:spacing w:line="360" w:lineRule="auto"/>
        <w:ind w:left="0" w:right="0" w:firstLine="500" w:firstLineChars="0"/>
        <w:rPr>
          <w:highlight w:val="none"/>
        </w:rPr>
      </w:pPr>
      <w:r>
        <w:rPr>
          <w:spacing w:val="-2"/>
          <w:highlight w:val="none"/>
        </w:rPr>
        <w:t>6.多人参与的竞赛，负责人按加分标准的100%加分</w:t>
      </w:r>
      <w:r>
        <w:rPr>
          <w:spacing w:val="-3"/>
          <w:highlight w:val="none"/>
        </w:rPr>
        <w:t>，其余成员按80%加分；</w:t>
      </w:r>
    </w:p>
    <w:p w14:paraId="208788F5">
      <w:pPr>
        <w:pStyle w:val="4"/>
        <w:pageBreakBefore w:val="0"/>
        <w:wordWrap/>
        <w:overflowPunct/>
        <w:topLinePunct w:val="0"/>
        <w:bidi w:val="0"/>
        <w:spacing w:line="360" w:lineRule="auto"/>
        <w:ind w:left="0" w:right="0" w:firstLine="500" w:firstLineChars="0"/>
        <w:rPr>
          <w:highlight w:val="none"/>
        </w:rPr>
      </w:pPr>
      <w:r>
        <w:rPr>
          <w:spacing w:val="-4"/>
          <w:highlight w:val="none"/>
        </w:rPr>
        <w:t>7.同一竞赛活动以最高分的加分项为准，不累计</w:t>
      </w:r>
      <w:r>
        <w:rPr>
          <w:spacing w:val="-5"/>
          <w:highlight w:val="none"/>
        </w:rPr>
        <w:t>加分；</w:t>
      </w:r>
    </w:p>
    <w:p w14:paraId="3EC5A53D">
      <w:pPr>
        <w:pStyle w:val="4"/>
        <w:pageBreakBefore w:val="0"/>
        <w:wordWrap/>
        <w:overflowPunct/>
        <w:topLinePunct w:val="0"/>
        <w:bidi w:val="0"/>
        <w:spacing w:line="360" w:lineRule="auto"/>
        <w:ind w:left="0" w:right="0" w:firstLine="500" w:firstLineChars="0"/>
        <w:rPr>
          <w:spacing w:val="-8"/>
          <w:highlight w:val="none"/>
        </w:rPr>
      </w:pPr>
      <w:r>
        <w:rPr>
          <w:spacing w:val="-1"/>
          <w:highlight w:val="none"/>
        </w:rPr>
        <w:t>8.除奖状上标明特等、一、二、三等奖外，其余奖项如最具创意奖、最具人气奖</w:t>
      </w:r>
      <w:r>
        <w:rPr>
          <w:highlight w:val="none"/>
        </w:rPr>
        <w:t>等均按优胜奖加分；“挑战杯”中国大学生创业计划竞赛、“</w:t>
      </w:r>
      <w:r>
        <w:rPr>
          <w:spacing w:val="-1"/>
          <w:highlight w:val="none"/>
        </w:rPr>
        <w:t>互联网+”大学生创新创业大赛、大学生课外学术科技作品竞赛中的金、银、铜奖分别按以上各</w:t>
      </w:r>
      <w:r>
        <w:rPr>
          <w:spacing w:val="-2"/>
          <w:highlight w:val="none"/>
        </w:rPr>
        <w:t>个级别的特等、</w:t>
      </w:r>
      <w:r>
        <w:rPr>
          <w:spacing w:val="-8"/>
          <w:highlight w:val="none"/>
        </w:rPr>
        <w:t>一、二等奖加分；</w:t>
      </w:r>
    </w:p>
    <w:p w14:paraId="363969C2">
      <w:pPr>
        <w:pStyle w:val="5"/>
        <w:rPr>
          <w:highlight w:val="none"/>
        </w:rPr>
      </w:pPr>
      <w:r>
        <w:rPr>
          <w:rFonts w:hint="eastAsia"/>
          <w:spacing w:val="-1"/>
          <w:highlight w:val="none"/>
          <w:lang w:val="en-US" w:eastAsia="zh-CN"/>
        </w:rPr>
        <w:t>9.</w:t>
      </w:r>
      <w:r>
        <w:rPr>
          <w:spacing w:val="-1"/>
          <w:highlight w:val="none"/>
        </w:rPr>
        <w:t>院级竞赛活动按照学生当年所在学院加分，即院级竞赛指教科院举</w:t>
      </w:r>
      <w:r>
        <w:rPr>
          <w:spacing w:val="-8"/>
          <w:highlight w:val="none"/>
        </w:rPr>
        <w:t>办的竞赛</w:t>
      </w:r>
      <w:r>
        <w:rPr>
          <w:rFonts w:hint="eastAsia"/>
          <w:highlight w:val="none"/>
          <w:lang w:eastAsia="zh-CN"/>
        </w:rPr>
        <w:t>；</w:t>
      </w:r>
      <w:r>
        <w:rPr>
          <w:rFonts w:hint="eastAsia"/>
          <w:highlight w:val="none"/>
          <w:lang w:val="en-US" w:eastAsia="zh-CN"/>
        </w:rPr>
        <w:t>校级及以上辩论赛一学期不超过2场加分。</w:t>
      </w:r>
    </w:p>
    <w:p w14:paraId="40B178BC">
      <w:pPr>
        <w:pStyle w:val="4"/>
        <w:pageBreakBefore w:val="0"/>
        <w:wordWrap/>
        <w:overflowPunct/>
        <w:topLinePunct w:val="0"/>
        <w:bidi w:val="0"/>
        <w:spacing w:line="360" w:lineRule="auto"/>
        <w:ind w:left="0" w:right="0" w:firstLine="500" w:firstLineChars="0"/>
        <w:rPr>
          <w:spacing w:val="-8"/>
          <w:highlight w:val="none"/>
        </w:rPr>
      </w:pPr>
    </w:p>
    <w:p w14:paraId="60D23D7C">
      <w:pPr>
        <w:pStyle w:val="4"/>
        <w:pageBreakBefore w:val="0"/>
        <w:wordWrap/>
        <w:overflowPunct/>
        <w:topLinePunct w:val="0"/>
        <w:bidi w:val="0"/>
        <w:spacing w:line="360" w:lineRule="auto"/>
        <w:ind w:left="0" w:right="0" w:firstLine="500" w:firstLineChars="0"/>
        <w:rPr>
          <w:spacing w:val="-8"/>
          <w:highlight w:val="none"/>
        </w:rPr>
      </w:pPr>
      <w:r>
        <w:rPr>
          <w:spacing w:val="-8"/>
          <w:highlight w:val="none"/>
          <w:lang w:val="en-US" w:eastAsia="en-US"/>
        </w:rPr>
        <w:t>10.</w:t>
      </w:r>
      <w:r>
        <w:rPr>
          <w:spacing w:val="-8"/>
          <w:highlight w:val="none"/>
        </w:rPr>
        <w:t>以上赛事级别，以证书盖章单位为准，并按以下原则分类别：</w:t>
      </w:r>
    </w:p>
    <w:p w14:paraId="299EAB39">
      <w:pPr>
        <w:pStyle w:val="4"/>
        <w:pageBreakBefore w:val="0"/>
        <w:wordWrap/>
        <w:overflowPunct/>
        <w:topLinePunct w:val="0"/>
        <w:bidi w:val="0"/>
        <w:spacing w:line="360" w:lineRule="auto"/>
        <w:ind w:left="0" w:right="0" w:firstLine="500" w:firstLineChars="0"/>
        <w:rPr>
          <w:rFonts w:hint="eastAsia" w:eastAsia="仿宋"/>
          <w:highlight w:val="none"/>
          <w:lang w:val="en-US" w:eastAsia="zh-CN"/>
        </w:rPr>
      </w:pPr>
      <w:r>
        <w:rPr>
          <w:spacing w:val="-8"/>
          <w:highlight w:val="none"/>
        </w:rPr>
        <w:t>由教育部、全国科学技术协会或团共青团中央主办的赛事列为国家级；教育部、团中央的司局级单位和下属的专业教学指导委员会或某单个学科的全国性协会主办的赛事列为省级；由省教育厅、科技厅、</w:t>
      </w:r>
      <w:r>
        <w:rPr>
          <w:spacing w:val="-6"/>
          <w:highlight w:val="none"/>
        </w:rPr>
        <w:t>省科学技术协会或团</w:t>
      </w:r>
      <w:r>
        <w:rPr>
          <w:spacing w:val="-7"/>
          <w:highlight w:val="none"/>
        </w:rPr>
        <w:t>省委主办的赛事列为省级；教育厅、团</w:t>
      </w:r>
      <w:r>
        <w:rPr>
          <w:highlight w:val="none"/>
        </w:rPr>
        <w:t>省委的相关处室和下属的专业教学指导委员会或某单</w:t>
      </w:r>
      <w:r>
        <w:rPr>
          <w:spacing w:val="-1"/>
          <w:highlight w:val="none"/>
        </w:rPr>
        <w:t>个学科的省级协会主办的赛事列</w:t>
      </w:r>
      <w:r>
        <w:rPr>
          <w:spacing w:val="-13"/>
          <w:highlight w:val="none"/>
        </w:rPr>
        <w:t>为校级；</w:t>
      </w:r>
      <w:r>
        <w:rPr>
          <w:spacing w:val="-2"/>
          <w:highlight w:val="none"/>
        </w:rPr>
        <w:t>由学校教务处、科技处、科研处、学生部（处）或校团委、其它校级部门、校级学</w:t>
      </w:r>
      <w:r>
        <w:rPr>
          <w:spacing w:val="-1"/>
          <w:highlight w:val="none"/>
        </w:rPr>
        <w:t>生组织主办的赛事列为校级。院级学生组织主办的学术科技类赛事，</w:t>
      </w:r>
      <w:r>
        <w:rPr>
          <w:spacing w:val="-2"/>
          <w:highlight w:val="none"/>
        </w:rPr>
        <w:t>按院级标准加</w:t>
      </w:r>
      <w:r>
        <w:rPr>
          <w:rFonts w:hint="eastAsia"/>
          <w:spacing w:val="-2"/>
          <w:highlight w:val="none"/>
          <w:lang w:val="en-US" w:eastAsia="zh-CN"/>
        </w:rPr>
        <w:t>分。</w:t>
      </w:r>
    </w:p>
    <w:tbl>
      <w:tblPr>
        <w:tblStyle w:val="11"/>
        <w:tblW w:w="853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25"/>
        <w:gridCol w:w="7408"/>
      </w:tblGrid>
      <w:tr w14:paraId="329D7C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jc w:val="center"/>
        </w:trPr>
        <w:tc>
          <w:tcPr>
            <w:tcW w:w="1125" w:type="dxa"/>
            <w:vAlign w:val="top"/>
          </w:tcPr>
          <w:p w14:paraId="5433B593">
            <w:pPr>
              <w:pStyle w:val="12"/>
              <w:spacing w:before="290" w:line="360" w:lineRule="auto"/>
              <w:ind w:left="332"/>
              <w:rPr>
                <w:highlight w:val="none"/>
              </w:rPr>
            </w:pPr>
            <w:r>
              <w:rPr>
                <w:b/>
                <w:bCs/>
                <w:spacing w:val="-6"/>
                <w:highlight w:val="none"/>
              </w:rPr>
              <w:t>级别</w:t>
            </w:r>
          </w:p>
        </w:tc>
        <w:tc>
          <w:tcPr>
            <w:tcW w:w="7408" w:type="dxa"/>
            <w:vAlign w:val="top"/>
          </w:tcPr>
          <w:p w14:paraId="638267EF">
            <w:pPr>
              <w:pStyle w:val="12"/>
              <w:spacing w:before="290" w:line="360" w:lineRule="auto"/>
              <w:ind w:left="1306"/>
              <w:rPr>
                <w:highlight w:val="none"/>
              </w:rPr>
            </w:pPr>
            <w:r>
              <w:rPr>
                <w:b/>
                <w:bCs/>
                <w:spacing w:val="-3"/>
                <w:highlight w:val="none"/>
              </w:rPr>
              <w:t>竞赛类和科研立项类部分活动</w:t>
            </w:r>
            <w:r>
              <w:rPr>
                <w:spacing w:val="-3"/>
                <w:highlight w:val="none"/>
              </w:rPr>
              <w:t>（不完全统计）</w:t>
            </w:r>
          </w:p>
        </w:tc>
      </w:tr>
      <w:tr w14:paraId="384A64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4" w:hRule="atLeast"/>
          <w:jc w:val="center"/>
        </w:trPr>
        <w:tc>
          <w:tcPr>
            <w:tcW w:w="1125" w:type="dxa"/>
            <w:vAlign w:val="top"/>
          </w:tcPr>
          <w:p w14:paraId="194786FE">
            <w:pPr>
              <w:spacing w:line="360" w:lineRule="auto"/>
              <w:rPr>
                <w:rFonts w:ascii="Arial"/>
                <w:sz w:val="21"/>
                <w:highlight w:val="none"/>
              </w:rPr>
            </w:pPr>
          </w:p>
          <w:p w14:paraId="1243105E">
            <w:pPr>
              <w:pStyle w:val="12"/>
              <w:spacing w:before="78" w:line="360" w:lineRule="auto"/>
              <w:ind w:left="328"/>
              <w:rPr>
                <w:highlight w:val="none"/>
              </w:rPr>
            </w:pPr>
            <w:r>
              <w:rPr>
                <w:spacing w:val="-3"/>
                <w:highlight w:val="none"/>
              </w:rPr>
              <w:t>全国</w:t>
            </w:r>
          </w:p>
        </w:tc>
        <w:tc>
          <w:tcPr>
            <w:tcW w:w="7408" w:type="dxa"/>
            <w:vAlign w:val="top"/>
          </w:tcPr>
          <w:p w14:paraId="5C854AEB">
            <w:pPr>
              <w:pStyle w:val="12"/>
              <w:spacing w:before="284" w:line="360" w:lineRule="auto"/>
              <w:ind w:left="1307" w:right="109" w:hanging="1211"/>
              <w:rPr>
                <w:highlight w:val="none"/>
              </w:rPr>
            </w:pPr>
            <w:r>
              <w:rPr>
                <w:highlight w:val="none"/>
              </w:rPr>
              <w:t>“挑战杯”大学生课外学术科技作品竞赛、“挑战杯”大学</w:t>
            </w:r>
            <w:r>
              <w:rPr>
                <w:spacing w:val="-1"/>
                <w:highlight w:val="none"/>
              </w:rPr>
              <w:t>生创业计划大赛、“外研社杯”、全国大学生创业大赛</w:t>
            </w:r>
          </w:p>
        </w:tc>
      </w:tr>
      <w:tr w14:paraId="003B83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jc w:val="center"/>
        </w:trPr>
        <w:tc>
          <w:tcPr>
            <w:tcW w:w="1125" w:type="dxa"/>
            <w:vAlign w:val="top"/>
          </w:tcPr>
          <w:p w14:paraId="509C1709">
            <w:pPr>
              <w:pStyle w:val="12"/>
              <w:spacing w:before="286" w:line="360" w:lineRule="auto"/>
              <w:ind w:left="332"/>
              <w:rPr>
                <w:highlight w:val="none"/>
              </w:rPr>
            </w:pPr>
            <w:r>
              <w:rPr>
                <w:spacing w:val="-4"/>
                <w:highlight w:val="none"/>
              </w:rPr>
              <w:t>省级</w:t>
            </w:r>
          </w:p>
        </w:tc>
        <w:tc>
          <w:tcPr>
            <w:tcW w:w="7408" w:type="dxa"/>
            <w:vAlign w:val="top"/>
          </w:tcPr>
          <w:p w14:paraId="13F1D035">
            <w:pPr>
              <w:pStyle w:val="12"/>
              <w:spacing w:before="286" w:line="360" w:lineRule="auto"/>
              <w:ind w:left="3227"/>
              <w:rPr>
                <w:highlight w:val="none"/>
              </w:rPr>
            </w:pPr>
            <w:r>
              <w:rPr>
                <w:spacing w:val="-2"/>
                <w:highlight w:val="none"/>
              </w:rPr>
              <w:t>攀登计划</w:t>
            </w:r>
          </w:p>
        </w:tc>
      </w:tr>
      <w:tr w14:paraId="7271D4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4" w:hRule="atLeast"/>
          <w:jc w:val="center"/>
        </w:trPr>
        <w:tc>
          <w:tcPr>
            <w:tcW w:w="1125" w:type="dxa"/>
            <w:vAlign w:val="top"/>
          </w:tcPr>
          <w:p w14:paraId="6B7051F2">
            <w:pPr>
              <w:spacing w:line="360" w:lineRule="auto"/>
              <w:rPr>
                <w:rFonts w:ascii="Arial"/>
                <w:sz w:val="21"/>
                <w:highlight w:val="none"/>
              </w:rPr>
            </w:pPr>
          </w:p>
          <w:p w14:paraId="3247EB98">
            <w:pPr>
              <w:pStyle w:val="12"/>
              <w:spacing w:before="78" w:line="360" w:lineRule="auto"/>
              <w:ind w:left="329"/>
              <w:rPr>
                <w:highlight w:val="none"/>
              </w:rPr>
            </w:pPr>
            <w:r>
              <w:rPr>
                <w:spacing w:val="-3"/>
                <w:highlight w:val="none"/>
              </w:rPr>
              <w:t>校级</w:t>
            </w:r>
          </w:p>
        </w:tc>
        <w:tc>
          <w:tcPr>
            <w:tcW w:w="7408" w:type="dxa"/>
            <w:vAlign w:val="top"/>
          </w:tcPr>
          <w:p w14:paraId="664294A1">
            <w:pPr>
              <w:pStyle w:val="12"/>
              <w:spacing w:before="284" w:line="360" w:lineRule="auto"/>
              <w:ind w:left="591" w:right="584" w:firstLine="99"/>
              <w:rPr>
                <w:highlight w:val="none"/>
              </w:rPr>
            </w:pPr>
            <w:r>
              <w:rPr>
                <w:highlight w:val="none"/>
              </w:rPr>
              <w:t>“金种子”立项、“青研杯”调研比赛、大学生英语比赛</w:t>
            </w:r>
            <w:r>
              <w:rPr>
                <w:spacing w:val="-1"/>
                <w:highlight w:val="none"/>
              </w:rPr>
              <w:t>师范生多媒体课件制作大赛、“为了明天”师范生技能竞赛</w:t>
            </w:r>
          </w:p>
        </w:tc>
      </w:tr>
      <w:tr w14:paraId="565799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3" w:hRule="atLeast"/>
          <w:jc w:val="center"/>
        </w:trPr>
        <w:tc>
          <w:tcPr>
            <w:tcW w:w="1125" w:type="dxa"/>
            <w:vAlign w:val="top"/>
          </w:tcPr>
          <w:p w14:paraId="7B410F80">
            <w:pPr>
              <w:spacing w:line="360" w:lineRule="auto"/>
              <w:rPr>
                <w:rFonts w:ascii="Arial"/>
                <w:sz w:val="21"/>
                <w:highlight w:val="none"/>
              </w:rPr>
            </w:pPr>
          </w:p>
          <w:p w14:paraId="176F955B">
            <w:pPr>
              <w:pStyle w:val="12"/>
              <w:spacing w:before="78" w:line="360" w:lineRule="auto"/>
              <w:ind w:left="344"/>
              <w:rPr>
                <w:highlight w:val="none"/>
              </w:rPr>
            </w:pPr>
            <w:r>
              <w:rPr>
                <w:spacing w:val="-7"/>
                <w:highlight w:val="none"/>
              </w:rPr>
              <w:t>院级</w:t>
            </w:r>
          </w:p>
        </w:tc>
        <w:tc>
          <w:tcPr>
            <w:tcW w:w="7408" w:type="dxa"/>
            <w:vAlign w:val="top"/>
          </w:tcPr>
          <w:p w14:paraId="74425491">
            <w:pPr>
              <w:spacing w:line="360" w:lineRule="auto"/>
              <w:rPr>
                <w:rFonts w:ascii="Arial"/>
                <w:sz w:val="21"/>
                <w:highlight w:val="none"/>
              </w:rPr>
            </w:pPr>
          </w:p>
          <w:p w14:paraId="6EF687F7">
            <w:pPr>
              <w:pStyle w:val="12"/>
              <w:spacing w:before="78" w:line="360" w:lineRule="auto"/>
              <w:ind w:left="3347" w:right="109" w:hanging="3235"/>
              <w:rPr>
                <w:rFonts w:hint="default" w:eastAsia="宋体"/>
                <w:highlight w:val="none"/>
                <w:lang w:val="en-US" w:eastAsia="zh-CN"/>
              </w:rPr>
            </w:pPr>
            <w:r>
              <w:rPr>
                <w:spacing w:val="-1"/>
                <w:highlight w:val="none"/>
              </w:rPr>
              <w:t>三笔字大赛、模拟课堂大赛、微课比赛、课件制作大赛、辩论赛、手</w:t>
            </w:r>
            <w:r>
              <w:rPr>
                <w:spacing w:val="-3"/>
                <w:highlight w:val="none"/>
              </w:rPr>
              <w:t>语大赛</w:t>
            </w:r>
            <w:r>
              <w:rPr>
                <w:rFonts w:hint="eastAsia"/>
                <w:spacing w:val="-3"/>
                <w:highlight w:val="none"/>
                <w:lang w:eastAsia="zh-CN"/>
              </w:rPr>
              <w:t>、</w:t>
            </w:r>
            <w:r>
              <w:rPr>
                <w:rFonts w:hint="eastAsia"/>
                <w:color w:val="auto"/>
                <w:spacing w:val="-3"/>
                <w:highlight w:val="none"/>
                <w:lang w:val="en-US" w:eastAsia="zh-CN"/>
              </w:rPr>
              <w:t>教案比赛</w:t>
            </w:r>
          </w:p>
        </w:tc>
      </w:tr>
    </w:tbl>
    <w:p w14:paraId="0EC1E203">
      <w:pPr>
        <w:pStyle w:val="3"/>
        <w:bidi w:val="0"/>
        <w:ind w:firstLine="640" w:firstLineChars="200"/>
        <w:rPr>
          <w:highlight w:val="none"/>
        </w:rPr>
      </w:pPr>
    </w:p>
    <w:p w14:paraId="50DFC9C3">
      <w:pPr>
        <w:pStyle w:val="3"/>
        <w:numPr>
          <w:ilvl w:val="0"/>
          <w:numId w:val="0"/>
        </w:numPr>
        <w:bidi w:val="0"/>
        <w:ind w:left="0" w:leftChars="0" w:firstLine="640" w:firstLineChars="200"/>
        <w:rPr>
          <w:highlight w:val="none"/>
        </w:rPr>
      </w:pPr>
      <w:r>
        <w:rPr>
          <w:rFonts w:hint="eastAsia" w:ascii="宋体" w:hAnsi="宋体" w:eastAsia="楷体" w:cs="宋体"/>
          <w:snapToGrid/>
          <w:kern w:val="44"/>
          <w:sz w:val="32"/>
          <w:szCs w:val="24"/>
          <w:highlight w:val="none"/>
          <w:lang w:val="en-US" w:eastAsia="zh-CN" w:bidi="ar-SA"/>
        </w:rPr>
        <w:t>（</w:t>
      </w:r>
      <w:r>
        <w:rPr>
          <w:rFonts w:hint="eastAsia" w:cs="宋体"/>
          <w:snapToGrid/>
          <w:kern w:val="44"/>
          <w:sz w:val="32"/>
          <w:szCs w:val="24"/>
          <w:highlight w:val="none"/>
          <w:lang w:val="en-US" w:eastAsia="zh-CN" w:bidi="ar-SA"/>
        </w:rPr>
        <w:t>四</w:t>
      </w:r>
      <w:r>
        <w:rPr>
          <w:rFonts w:hint="eastAsia" w:ascii="宋体" w:hAnsi="宋体" w:eastAsia="楷体" w:cs="宋体"/>
          <w:snapToGrid/>
          <w:kern w:val="44"/>
          <w:sz w:val="32"/>
          <w:szCs w:val="24"/>
          <w:highlight w:val="none"/>
          <w:lang w:val="en-US" w:eastAsia="zh-CN" w:bidi="ar-SA"/>
        </w:rPr>
        <w:t>）</w:t>
      </w:r>
      <w:r>
        <w:rPr>
          <w:highlight w:val="none"/>
        </w:rPr>
        <w:t>创新发明加分</w:t>
      </w:r>
    </w:p>
    <w:p w14:paraId="2476D521">
      <w:pPr>
        <w:pStyle w:val="4"/>
        <w:bidi w:val="0"/>
        <w:ind w:firstLine="640" w:firstLineChars="200"/>
        <w:rPr>
          <w:highlight w:val="none"/>
        </w:rPr>
      </w:pPr>
      <w:r>
        <w:rPr>
          <w:highlight w:val="none"/>
        </w:rPr>
        <w:t>科技发明专利类参照全国竞赛等级记分。其中PCT国际专利或国家发明专利计35分；国家使用新型专利计30分；外观设计专利计3分；软件著作权登记计3分，专利著作权类专利计3分，该项累计加分超过9分者仍按9分计算</w:t>
      </w:r>
      <w:r>
        <w:rPr>
          <w:rFonts w:hint="eastAsia"/>
          <w:highlight w:val="none"/>
          <w:lang w:eastAsia="zh-CN"/>
        </w:rPr>
        <w:t>。</w:t>
      </w:r>
      <w:r>
        <w:rPr>
          <w:highlight w:val="none"/>
        </w:rPr>
        <w:t>第一发明人按加分标准的100%加分，其余成员按80%加分。</w:t>
      </w:r>
    </w:p>
    <w:p w14:paraId="58F3C82E">
      <w:pPr>
        <w:pStyle w:val="3"/>
        <w:bidi w:val="0"/>
        <w:ind w:firstLine="640" w:firstLineChars="200"/>
        <w:rPr>
          <w:highlight w:val="none"/>
        </w:rPr>
      </w:pPr>
      <w:r>
        <w:rPr>
          <w:highlight w:val="none"/>
        </w:rPr>
        <w:t>（五）专业技能加分</w:t>
      </w:r>
    </w:p>
    <w:p w14:paraId="317E8E2D">
      <w:pPr>
        <w:pStyle w:val="4"/>
        <w:spacing w:before="316" w:line="360" w:lineRule="auto"/>
        <w:ind w:firstLine="624" w:firstLineChars="200"/>
        <w:jc w:val="both"/>
        <w:rPr>
          <w:highlight w:val="none"/>
        </w:rPr>
      </w:pPr>
      <w:r>
        <w:rPr>
          <w:spacing w:val="-4"/>
          <w:highlight w:val="none"/>
        </w:rPr>
        <w:t>1.通过四级、六级考试者（不低于425分）分别加</w:t>
      </w:r>
      <w:r>
        <w:rPr>
          <w:spacing w:val="-5"/>
          <w:highlight w:val="none"/>
        </w:rPr>
        <w:t>0.5分、1分，四级成绩超过550</w:t>
      </w:r>
      <w:r>
        <w:rPr>
          <w:spacing w:val="-4"/>
          <w:highlight w:val="none"/>
        </w:rPr>
        <w:t>分、六级500以上另加2分。</w:t>
      </w:r>
      <w:r>
        <w:rPr>
          <w:rFonts w:hint="eastAsia"/>
          <w:spacing w:val="-4"/>
          <w:highlight w:val="none"/>
          <w:lang w:val="en-US" w:eastAsia="zh-CN"/>
        </w:rPr>
        <w:t>通过教师资格考试国考者加2分。</w:t>
      </w:r>
      <w:r>
        <w:rPr>
          <w:spacing w:val="-4"/>
          <w:highlight w:val="none"/>
        </w:rPr>
        <w:t>托福考试94分以上，雅思考试7分以上加2分</w:t>
      </w:r>
      <w:r>
        <w:rPr>
          <w:spacing w:val="-5"/>
          <w:highlight w:val="none"/>
        </w:rPr>
        <w:t>，托福考</w:t>
      </w:r>
      <w:r>
        <w:rPr>
          <w:spacing w:val="-3"/>
          <w:highlight w:val="none"/>
        </w:rPr>
        <w:t>试110分以上，雅思考试8分以上加3分。（托福考试和雅思考试分数对应表如下）</w:t>
      </w:r>
    </w:p>
    <w:tbl>
      <w:tblPr>
        <w:tblStyle w:val="11"/>
        <w:tblW w:w="5881" w:type="dxa"/>
        <w:tblInd w:w="18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989"/>
        <w:gridCol w:w="2892"/>
      </w:tblGrid>
      <w:tr w14:paraId="5F0DEA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2989" w:type="dxa"/>
            <w:vAlign w:val="top"/>
          </w:tcPr>
          <w:p w14:paraId="5CEE9820">
            <w:pPr>
              <w:pStyle w:val="12"/>
              <w:spacing w:before="287" w:line="360" w:lineRule="auto"/>
              <w:ind w:left="804"/>
              <w:rPr>
                <w:highlight w:val="none"/>
              </w:rPr>
            </w:pPr>
            <w:r>
              <w:rPr>
                <w:spacing w:val="-4"/>
                <w:highlight w:val="none"/>
              </w:rPr>
              <w:t>TOFELScore</w:t>
            </w:r>
          </w:p>
        </w:tc>
        <w:tc>
          <w:tcPr>
            <w:tcW w:w="2892" w:type="dxa"/>
            <w:vAlign w:val="top"/>
          </w:tcPr>
          <w:p w14:paraId="3F34C61B">
            <w:pPr>
              <w:pStyle w:val="12"/>
              <w:spacing w:before="287" w:line="360" w:lineRule="auto"/>
              <w:ind w:left="804"/>
              <w:rPr>
                <w:highlight w:val="none"/>
              </w:rPr>
            </w:pPr>
            <w:r>
              <w:rPr>
                <w:spacing w:val="-4"/>
                <w:highlight w:val="none"/>
              </w:rPr>
              <w:t>IELTSScore</w:t>
            </w:r>
          </w:p>
        </w:tc>
      </w:tr>
      <w:tr w14:paraId="5A1FBA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2989" w:type="dxa"/>
            <w:vAlign w:val="top"/>
          </w:tcPr>
          <w:p w14:paraId="584DDA0B">
            <w:pPr>
              <w:spacing w:line="360" w:lineRule="auto"/>
              <w:rPr>
                <w:rFonts w:ascii="Arial"/>
                <w:sz w:val="21"/>
                <w:highlight w:val="none"/>
              </w:rPr>
            </w:pPr>
          </w:p>
          <w:p w14:paraId="64B55B97">
            <w:pPr>
              <w:pStyle w:val="12"/>
              <w:spacing w:before="78" w:line="360" w:lineRule="auto"/>
              <w:ind w:left="1264"/>
              <w:rPr>
                <w:highlight w:val="none"/>
              </w:rPr>
            </w:pPr>
            <w:r>
              <w:rPr>
                <w:spacing w:val="-3"/>
                <w:highlight w:val="none"/>
              </w:rPr>
              <w:t>0-31</w:t>
            </w:r>
          </w:p>
        </w:tc>
        <w:tc>
          <w:tcPr>
            <w:tcW w:w="2892" w:type="dxa"/>
            <w:vAlign w:val="top"/>
          </w:tcPr>
          <w:p w14:paraId="3C6830AA">
            <w:pPr>
              <w:spacing w:line="360" w:lineRule="auto"/>
              <w:rPr>
                <w:rFonts w:ascii="Arial"/>
                <w:sz w:val="21"/>
                <w:highlight w:val="none"/>
              </w:rPr>
            </w:pPr>
          </w:p>
          <w:p w14:paraId="0B4E59B8">
            <w:pPr>
              <w:pStyle w:val="12"/>
              <w:spacing w:before="78" w:line="360" w:lineRule="auto"/>
              <w:ind w:left="1273"/>
              <w:rPr>
                <w:highlight w:val="none"/>
              </w:rPr>
            </w:pPr>
            <w:r>
              <w:rPr>
                <w:spacing w:val="-4"/>
                <w:highlight w:val="none"/>
              </w:rPr>
              <w:t>0-4</w:t>
            </w:r>
          </w:p>
        </w:tc>
      </w:tr>
      <w:tr w14:paraId="2F5B25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trPr>
        <w:tc>
          <w:tcPr>
            <w:tcW w:w="2989" w:type="dxa"/>
            <w:vAlign w:val="top"/>
          </w:tcPr>
          <w:p w14:paraId="6DD3043B">
            <w:pPr>
              <w:spacing w:line="360" w:lineRule="auto"/>
              <w:rPr>
                <w:rFonts w:ascii="Arial"/>
                <w:sz w:val="21"/>
                <w:highlight w:val="none"/>
              </w:rPr>
            </w:pPr>
          </w:p>
          <w:p w14:paraId="1718500D">
            <w:pPr>
              <w:pStyle w:val="12"/>
              <w:spacing w:before="78" w:line="360" w:lineRule="auto"/>
              <w:ind w:left="1207"/>
              <w:rPr>
                <w:highlight w:val="none"/>
              </w:rPr>
            </w:pPr>
            <w:r>
              <w:rPr>
                <w:spacing w:val="-3"/>
                <w:highlight w:val="none"/>
              </w:rPr>
              <w:t>32-34</w:t>
            </w:r>
          </w:p>
        </w:tc>
        <w:tc>
          <w:tcPr>
            <w:tcW w:w="2892" w:type="dxa"/>
            <w:vAlign w:val="top"/>
          </w:tcPr>
          <w:p w14:paraId="216907F6">
            <w:pPr>
              <w:spacing w:line="360" w:lineRule="auto"/>
              <w:rPr>
                <w:rFonts w:ascii="Arial"/>
                <w:sz w:val="21"/>
                <w:highlight w:val="none"/>
              </w:rPr>
            </w:pPr>
          </w:p>
          <w:p w14:paraId="0BECF8CD">
            <w:pPr>
              <w:pStyle w:val="12"/>
              <w:spacing w:before="78" w:line="360" w:lineRule="auto"/>
              <w:ind w:left="1270"/>
              <w:rPr>
                <w:highlight w:val="none"/>
              </w:rPr>
            </w:pPr>
            <w:r>
              <w:rPr>
                <w:spacing w:val="-2"/>
                <w:highlight w:val="none"/>
              </w:rPr>
              <w:t>4.5</w:t>
            </w:r>
          </w:p>
        </w:tc>
      </w:tr>
      <w:tr w14:paraId="316258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2989" w:type="dxa"/>
            <w:vAlign w:val="top"/>
          </w:tcPr>
          <w:p w14:paraId="3957B8DD">
            <w:pPr>
              <w:spacing w:line="360" w:lineRule="auto"/>
              <w:rPr>
                <w:rFonts w:ascii="Arial"/>
                <w:sz w:val="21"/>
                <w:highlight w:val="none"/>
              </w:rPr>
            </w:pPr>
          </w:p>
          <w:p w14:paraId="7EF77937">
            <w:pPr>
              <w:pStyle w:val="12"/>
              <w:spacing w:before="78" w:line="360" w:lineRule="auto"/>
              <w:ind w:left="1207"/>
              <w:rPr>
                <w:highlight w:val="none"/>
              </w:rPr>
            </w:pPr>
            <w:r>
              <w:rPr>
                <w:spacing w:val="-3"/>
                <w:highlight w:val="none"/>
              </w:rPr>
              <w:t>35-45</w:t>
            </w:r>
          </w:p>
        </w:tc>
        <w:tc>
          <w:tcPr>
            <w:tcW w:w="2892" w:type="dxa"/>
            <w:vAlign w:val="top"/>
          </w:tcPr>
          <w:p w14:paraId="677BB506">
            <w:pPr>
              <w:spacing w:line="360" w:lineRule="auto"/>
              <w:rPr>
                <w:rFonts w:ascii="Arial"/>
                <w:sz w:val="21"/>
                <w:highlight w:val="none"/>
              </w:rPr>
            </w:pPr>
          </w:p>
          <w:p w14:paraId="2F85143D">
            <w:pPr>
              <w:pStyle w:val="12"/>
              <w:spacing w:before="78" w:line="360" w:lineRule="auto"/>
              <w:ind w:left="1396"/>
              <w:rPr>
                <w:highlight w:val="none"/>
              </w:rPr>
            </w:pPr>
            <w:r>
              <w:rPr>
                <w:highlight w:val="none"/>
              </w:rPr>
              <w:t>5</w:t>
            </w:r>
          </w:p>
        </w:tc>
      </w:tr>
      <w:tr w14:paraId="71E84C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trPr>
        <w:tc>
          <w:tcPr>
            <w:tcW w:w="2989" w:type="dxa"/>
            <w:vAlign w:val="top"/>
          </w:tcPr>
          <w:p w14:paraId="7A43DEC5">
            <w:pPr>
              <w:spacing w:line="360" w:lineRule="auto"/>
              <w:rPr>
                <w:rFonts w:ascii="Arial"/>
                <w:sz w:val="21"/>
                <w:highlight w:val="none"/>
              </w:rPr>
            </w:pPr>
          </w:p>
          <w:p w14:paraId="6B16C6B4">
            <w:pPr>
              <w:pStyle w:val="12"/>
              <w:spacing w:before="78" w:line="360" w:lineRule="auto"/>
              <w:ind w:left="1201"/>
              <w:rPr>
                <w:highlight w:val="none"/>
              </w:rPr>
            </w:pPr>
            <w:r>
              <w:rPr>
                <w:spacing w:val="-2"/>
                <w:highlight w:val="none"/>
              </w:rPr>
              <w:t>46-59</w:t>
            </w:r>
          </w:p>
        </w:tc>
        <w:tc>
          <w:tcPr>
            <w:tcW w:w="2892" w:type="dxa"/>
            <w:vAlign w:val="top"/>
          </w:tcPr>
          <w:p w14:paraId="7BAD35C7">
            <w:pPr>
              <w:spacing w:line="360" w:lineRule="auto"/>
              <w:rPr>
                <w:rFonts w:ascii="Arial"/>
                <w:sz w:val="21"/>
                <w:highlight w:val="none"/>
              </w:rPr>
            </w:pPr>
          </w:p>
          <w:p w14:paraId="44C7C705">
            <w:pPr>
              <w:pStyle w:val="12"/>
              <w:spacing w:before="78" w:line="360" w:lineRule="auto"/>
              <w:ind w:left="1276"/>
              <w:rPr>
                <w:highlight w:val="none"/>
              </w:rPr>
            </w:pPr>
            <w:r>
              <w:rPr>
                <w:spacing w:val="-4"/>
                <w:highlight w:val="none"/>
              </w:rPr>
              <w:t>5.5</w:t>
            </w:r>
          </w:p>
        </w:tc>
      </w:tr>
      <w:tr w14:paraId="6945E8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2989" w:type="dxa"/>
            <w:vAlign w:val="top"/>
          </w:tcPr>
          <w:p w14:paraId="66E81888">
            <w:pPr>
              <w:spacing w:line="360" w:lineRule="auto"/>
              <w:rPr>
                <w:rFonts w:ascii="Arial"/>
                <w:sz w:val="21"/>
                <w:highlight w:val="none"/>
              </w:rPr>
            </w:pPr>
          </w:p>
          <w:p w14:paraId="62424A90">
            <w:pPr>
              <w:pStyle w:val="12"/>
              <w:spacing w:before="78" w:line="360" w:lineRule="auto"/>
              <w:ind w:left="1204"/>
              <w:rPr>
                <w:highlight w:val="none"/>
              </w:rPr>
            </w:pPr>
            <w:r>
              <w:rPr>
                <w:spacing w:val="-3"/>
                <w:highlight w:val="none"/>
              </w:rPr>
              <w:t>60-78</w:t>
            </w:r>
          </w:p>
        </w:tc>
        <w:tc>
          <w:tcPr>
            <w:tcW w:w="2892" w:type="dxa"/>
            <w:vAlign w:val="top"/>
          </w:tcPr>
          <w:p w14:paraId="416B6F8D">
            <w:pPr>
              <w:spacing w:line="360" w:lineRule="auto"/>
              <w:rPr>
                <w:rFonts w:ascii="Arial"/>
                <w:sz w:val="21"/>
                <w:highlight w:val="none"/>
              </w:rPr>
            </w:pPr>
          </w:p>
          <w:p w14:paraId="6289EF19">
            <w:pPr>
              <w:pStyle w:val="12"/>
              <w:spacing w:before="78" w:line="360" w:lineRule="auto"/>
              <w:ind w:left="1393"/>
              <w:rPr>
                <w:highlight w:val="none"/>
              </w:rPr>
            </w:pPr>
            <w:r>
              <w:rPr>
                <w:highlight w:val="none"/>
              </w:rPr>
              <w:t>6</w:t>
            </w:r>
          </w:p>
        </w:tc>
      </w:tr>
      <w:tr w14:paraId="7004B2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trPr>
        <w:tc>
          <w:tcPr>
            <w:tcW w:w="2989" w:type="dxa"/>
            <w:vAlign w:val="top"/>
          </w:tcPr>
          <w:p w14:paraId="73DDFD1D">
            <w:pPr>
              <w:spacing w:line="360" w:lineRule="auto"/>
              <w:rPr>
                <w:rFonts w:ascii="Arial"/>
                <w:sz w:val="21"/>
                <w:highlight w:val="none"/>
              </w:rPr>
            </w:pPr>
          </w:p>
          <w:p w14:paraId="5DB55D2C">
            <w:pPr>
              <w:pStyle w:val="12"/>
              <w:spacing w:before="78" w:line="360" w:lineRule="auto"/>
              <w:ind w:left="1208"/>
              <w:rPr>
                <w:highlight w:val="none"/>
              </w:rPr>
            </w:pPr>
            <w:r>
              <w:rPr>
                <w:spacing w:val="-4"/>
                <w:highlight w:val="none"/>
              </w:rPr>
              <w:t>79-93</w:t>
            </w:r>
          </w:p>
        </w:tc>
        <w:tc>
          <w:tcPr>
            <w:tcW w:w="2892" w:type="dxa"/>
            <w:vAlign w:val="top"/>
          </w:tcPr>
          <w:p w14:paraId="46DCB520">
            <w:pPr>
              <w:spacing w:line="360" w:lineRule="auto"/>
              <w:rPr>
                <w:rFonts w:ascii="Arial"/>
                <w:sz w:val="21"/>
                <w:highlight w:val="none"/>
              </w:rPr>
            </w:pPr>
          </w:p>
          <w:p w14:paraId="11E71E1D">
            <w:pPr>
              <w:pStyle w:val="12"/>
              <w:spacing w:before="78" w:line="360" w:lineRule="auto"/>
              <w:ind w:left="1273"/>
              <w:rPr>
                <w:highlight w:val="none"/>
              </w:rPr>
            </w:pPr>
            <w:r>
              <w:rPr>
                <w:spacing w:val="-3"/>
                <w:highlight w:val="none"/>
              </w:rPr>
              <w:t>6.5</w:t>
            </w:r>
          </w:p>
        </w:tc>
      </w:tr>
      <w:tr w14:paraId="3073DF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2989" w:type="dxa"/>
            <w:vAlign w:val="top"/>
          </w:tcPr>
          <w:p w14:paraId="5B237C80">
            <w:pPr>
              <w:spacing w:line="360" w:lineRule="auto"/>
              <w:rPr>
                <w:rFonts w:ascii="Arial"/>
                <w:sz w:val="21"/>
                <w:highlight w:val="none"/>
              </w:rPr>
            </w:pPr>
          </w:p>
          <w:p w14:paraId="79A92E19">
            <w:pPr>
              <w:pStyle w:val="12"/>
              <w:spacing w:before="78" w:line="360" w:lineRule="auto"/>
              <w:ind w:left="1143"/>
              <w:rPr>
                <w:highlight w:val="none"/>
              </w:rPr>
            </w:pPr>
            <w:r>
              <w:rPr>
                <w:spacing w:val="-2"/>
                <w:highlight w:val="none"/>
              </w:rPr>
              <w:t>94-101</w:t>
            </w:r>
          </w:p>
        </w:tc>
        <w:tc>
          <w:tcPr>
            <w:tcW w:w="2892" w:type="dxa"/>
            <w:vAlign w:val="top"/>
          </w:tcPr>
          <w:p w14:paraId="59C131E8">
            <w:pPr>
              <w:spacing w:line="360" w:lineRule="auto"/>
              <w:rPr>
                <w:rFonts w:ascii="Arial"/>
                <w:sz w:val="21"/>
                <w:highlight w:val="none"/>
              </w:rPr>
            </w:pPr>
          </w:p>
          <w:p w14:paraId="5CAB02A2">
            <w:pPr>
              <w:pStyle w:val="12"/>
              <w:spacing w:before="78" w:line="360" w:lineRule="auto"/>
              <w:ind w:left="1397"/>
              <w:rPr>
                <w:highlight w:val="none"/>
              </w:rPr>
            </w:pPr>
            <w:r>
              <w:rPr>
                <w:highlight w:val="none"/>
              </w:rPr>
              <w:t>7</w:t>
            </w:r>
          </w:p>
        </w:tc>
      </w:tr>
      <w:tr w14:paraId="2B3D2F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trPr>
        <w:tc>
          <w:tcPr>
            <w:tcW w:w="2989" w:type="dxa"/>
            <w:vAlign w:val="top"/>
          </w:tcPr>
          <w:p w14:paraId="221F45D4">
            <w:pPr>
              <w:spacing w:line="360" w:lineRule="auto"/>
              <w:rPr>
                <w:rFonts w:ascii="Arial"/>
                <w:sz w:val="21"/>
                <w:highlight w:val="none"/>
              </w:rPr>
            </w:pPr>
          </w:p>
          <w:p w14:paraId="42305DE9">
            <w:pPr>
              <w:pStyle w:val="12"/>
              <w:spacing w:before="78" w:line="360" w:lineRule="auto"/>
              <w:ind w:left="1100"/>
              <w:rPr>
                <w:highlight w:val="none"/>
              </w:rPr>
            </w:pPr>
            <w:r>
              <w:rPr>
                <w:spacing w:val="-4"/>
                <w:highlight w:val="none"/>
              </w:rPr>
              <w:t>102-109</w:t>
            </w:r>
          </w:p>
        </w:tc>
        <w:tc>
          <w:tcPr>
            <w:tcW w:w="2892" w:type="dxa"/>
            <w:vAlign w:val="top"/>
          </w:tcPr>
          <w:p w14:paraId="257419D5">
            <w:pPr>
              <w:spacing w:line="360" w:lineRule="auto"/>
              <w:rPr>
                <w:rFonts w:ascii="Arial"/>
                <w:sz w:val="21"/>
                <w:highlight w:val="none"/>
              </w:rPr>
            </w:pPr>
          </w:p>
          <w:p w14:paraId="3BE1DDE1">
            <w:pPr>
              <w:pStyle w:val="12"/>
              <w:spacing w:before="78" w:line="360" w:lineRule="auto"/>
              <w:ind w:left="1277"/>
              <w:rPr>
                <w:highlight w:val="none"/>
              </w:rPr>
            </w:pPr>
            <w:r>
              <w:rPr>
                <w:spacing w:val="-4"/>
                <w:highlight w:val="none"/>
              </w:rPr>
              <w:t>7.5</w:t>
            </w:r>
          </w:p>
        </w:tc>
      </w:tr>
      <w:tr w14:paraId="3AFAF2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2989" w:type="dxa"/>
            <w:vAlign w:val="top"/>
          </w:tcPr>
          <w:p w14:paraId="3315C0C6">
            <w:pPr>
              <w:spacing w:line="360" w:lineRule="auto"/>
              <w:rPr>
                <w:rFonts w:ascii="Arial"/>
                <w:sz w:val="21"/>
                <w:highlight w:val="none"/>
              </w:rPr>
            </w:pPr>
          </w:p>
          <w:p w14:paraId="34177FA1">
            <w:pPr>
              <w:pStyle w:val="12"/>
              <w:spacing w:before="78" w:line="360" w:lineRule="auto"/>
              <w:ind w:left="1100"/>
              <w:rPr>
                <w:highlight w:val="none"/>
              </w:rPr>
            </w:pPr>
            <w:r>
              <w:rPr>
                <w:spacing w:val="-4"/>
                <w:highlight w:val="none"/>
              </w:rPr>
              <w:t>110-114</w:t>
            </w:r>
          </w:p>
        </w:tc>
        <w:tc>
          <w:tcPr>
            <w:tcW w:w="2892" w:type="dxa"/>
            <w:vAlign w:val="top"/>
          </w:tcPr>
          <w:p w14:paraId="3796929F">
            <w:pPr>
              <w:spacing w:line="360" w:lineRule="auto"/>
              <w:rPr>
                <w:rFonts w:ascii="Arial"/>
                <w:sz w:val="21"/>
                <w:highlight w:val="none"/>
              </w:rPr>
            </w:pPr>
          </w:p>
          <w:p w14:paraId="689CEC6F">
            <w:pPr>
              <w:pStyle w:val="12"/>
              <w:spacing w:before="78" w:line="360" w:lineRule="auto"/>
              <w:ind w:left="1392"/>
              <w:rPr>
                <w:highlight w:val="none"/>
              </w:rPr>
            </w:pPr>
            <w:r>
              <w:rPr>
                <w:highlight w:val="none"/>
              </w:rPr>
              <w:t>8</w:t>
            </w:r>
          </w:p>
        </w:tc>
      </w:tr>
      <w:tr w14:paraId="2FDE17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2989" w:type="dxa"/>
            <w:vAlign w:val="top"/>
          </w:tcPr>
          <w:p w14:paraId="12DD919C">
            <w:pPr>
              <w:spacing w:line="360" w:lineRule="auto"/>
              <w:rPr>
                <w:rFonts w:ascii="Arial"/>
                <w:sz w:val="21"/>
                <w:highlight w:val="none"/>
              </w:rPr>
            </w:pPr>
          </w:p>
          <w:p w14:paraId="24E9A300">
            <w:pPr>
              <w:pStyle w:val="12"/>
              <w:spacing w:before="78" w:line="360" w:lineRule="auto"/>
              <w:ind w:left="1100"/>
              <w:rPr>
                <w:highlight w:val="none"/>
              </w:rPr>
            </w:pPr>
            <w:r>
              <w:rPr>
                <w:spacing w:val="-4"/>
                <w:highlight w:val="none"/>
              </w:rPr>
              <w:t>115-117</w:t>
            </w:r>
          </w:p>
        </w:tc>
        <w:tc>
          <w:tcPr>
            <w:tcW w:w="2892" w:type="dxa"/>
            <w:vAlign w:val="top"/>
          </w:tcPr>
          <w:p w14:paraId="0CAF4E79">
            <w:pPr>
              <w:spacing w:line="360" w:lineRule="auto"/>
              <w:rPr>
                <w:rFonts w:ascii="Arial"/>
                <w:sz w:val="21"/>
                <w:highlight w:val="none"/>
              </w:rPr>
            </w:pPr>
          </w:p>
          <w:p w14:paraId="1AB34CC3">
            <w:pPr>
              <w:pStyle w:val="12"/>
              <w:spacing w:before="78" w:line="360" w:lineRule="auto"/>
              <w:ind w:left="1272"/>
              <w:rPr>
                <w:highlight w:val="none"/>
              </w:rPr>
            </w:pPr>
            <w:r>
              <w:rPr>
                <w:spacing w:val="-3"/>
                <w:highlight w:val="none"/>
              </w:rPr>
              <w:t>8.5</w:t>
            </w:r>
          </w:p>
        </w:tc>
      </w:tr>
      <w:tr w14:paraId="00989C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2989" w:type="dxa"/>
            <w:vAlign w:val="top"/>
          </w:tcPr>
          <w:p w14:paraId="0709E1AD">
            <w:pPr>
              <w:spacing w:line="360" w:lineRule="auto"/>
              <w:rPr>
                <w:rFonts w:ascii="Arial"/>
                <w:sz w:val="21"/>
                <w:highlight w:val="none"/>
              </w:rPr>
            </w:pPr>
          </w:p>
          <w:p w14:paraId="3C983726">
            <w:pPr>
              <w:pStyle w:val="12"/>
              <w:spacing w:before="78" w:line="360" w:lineRule="auto"/>
              <w:ind w:left="1100"/>
              <w:rPr>
                <w:highlight w:val="none"/>
              </w:rPr>
            </w:pPr>
            <w:r>
              <w:rPr>
                <w:spacing w:val="-4"/>
                <w:highlight w:val="none"/>
              </w:rPr>
              <w:t>118-120</w:t>
            </w:r>
          </w:p>
        </w:tc>
        <w:tc>
          <w:tcPr>
            <w:tcW w:w="2892" w:type="dxa"/>
            <w:vAlign w:val="top"/>
          </w:tcPr>
          <w:p w14:paraId="30D7CAFF">
            <w:pPr>
              <w:spacing w:line="360" w:lineRule="auto"/>
              <w:rPr>
                <w:rFonts w:ascii="Arial"/>
                <w:sz w:val="21"/>
                <w:highlight w:val="none"/>
              </w:rPr>
            </w:pPr>
          </w:p>
          <w:p w14:paraId="6FE1227D">
            <w:pPr>
              <w:pStyle w:val="12"/>
              <w:spacing w:before="78" w:line="360" w:lineRule="auto"/>
              <w:ind w:left="1392"/>
              <w:rPr>
                <w:highlight w:val="none"/>
              </w:rPr>
            </w:pPr>
            <w:r>
              <w:rPr>
                <w:highlight w:val="none"/>
              </w:rPr>
              <w:t>9</w:t>
            </w:r>
          </w:p>
        </w:tc>
      </w:tr>
    </w:tbl>
    <w:p w14:paraId="1477B219">
      <w:pPr>
        <w:spacing w:line="360" w:lineRule="auto"/>
        <w:rPr>
          <w:rFonts w:ascii="Arial"/>
          <w:sz w:val="21"/>
          <w:highlight w:val="none"/>
        </w:rPr>
      </w:pPr>
    </w:p>
    <w:p w14:paraId="44012B8B">
      <w:pPr>
        <w:pStyle w:val="4"/>
        <w:keepNext w:val="0"/>
        <w:keepLines w:val="0"/>
        <w:pageBreakBefore w:val="0"/>
        <w:widowControl/>
        <w:kinsoku w:val="0"/>
        <w:wordWrap/>
        <w:overflowPunct/>
        <w:topLinePunct w:val="0"/>
        <w:autoSpaceDE w:val="0"/>
        <w:autoSpaceDN w:val="0"/>
        <w:bidi w:val="0"/>
        <w:adjustRightInd w:val="0"/>
        <w:snapToGrid w:val="0"/>
        <w:spacing w:line="360" w:lineRule="auto"/>
        <w:ind w:right="0" w:firstLine="636" w:firstLineChars="200"/>
        <w:textAlignment w:val="baseline"/>
        <w:rPr>
          <w:highlight w:val="none"/>
        </w:rPr>
      </w:pPr>
      <w:r>
        <w:rPr>
          <w:spacing w:val="-1"/>
          <w:highlight w:val="none"/>
        </w:rPr>
        <w:t>2.全国计算机等级考试通过过一、二、三级者分别加1、1.5、</w:t>
      </w:r>
      <w:r>
        <w:rPr>
          <w:spacing w:val="-2"/>
          <w:highlight w:val="none"/>
        </w:rPr>
        <w:t>2分;</w:t>
      </w:r>
    </w:p>
    <w:p w14:paraId="4A4C35DD">
      <w:pPr>
        <w:pStyle w:val="4"/>
        <w:keepNext w:val="0"/>
        <w:keepLines w:val="0"/>
        <w:pageBreakBefore w:val="0"/>
        <w:widowControl/>
        <w:kinsoku w:val="0"/>
        <w:wordWrap/>
        <w:overflowPunct/>
        <w:topLinePunct w:val="0"/>
        <w:autoSpaceDE w:val="0"/>
        <w:autoSpaceDN w:val="0"/>
        <w:bidi w:val="0"/>
        <w:adjustRightInd w:val="0"/>
        <w:snapToGrid w:val="0"/>
        <w:spacing w:line="360" w:lineRule="auto"/>
        <w:ind w:right="0" w:firstLine="624" w:firstLineChars="200"/>
        <w:textAlignment w:val="baseline"/>
        <w:rPr>
          <w:highlight w:val="none"/>
        </w:rPr>
      </w:pPr>
      <w:r>
        <w:rPr>
          <w:spacing w:val="-4"/>
          <w:highlight w:val="none"/>
        </w:rPr>
        <w:t>3.通过普通话测试二乙者加1分，二甲者加1.5分,一乙及以上者加2分；</w:t>
      </w:r>
    </w:p>
    <w:p w14:paraId="62655550">
      <w:pPr>
        <w:pStyle w:val="4"/>
        <w:keepNext w:val="0"/>
        <w:keepLines w:val="0"/>
        <w:pageBreakBefore w:val="0"/>
        <w:widowControl/>
        <w:kinsoku w:val="0"/>
        <w:wordWrap/>
        <w:overflowPunct/>
        <w:topLinePunct w:val="0"/>
        <w:autoSpaceDE w:val="0"/>
        <w:autoSpaceDN w:val="0"/>
        <w:bidi w:val="0"/>
        <w:adjustRightInd w:val="0"/>
        <w:snapToGrid w:val="0"/>
        <w:spacing w:line="360" w:lineRule="auto"/>
        <w:ind w:right="0" w:firstLine="632" w:firstLineChars="200"/>
        <w:textAlignment w:val="baseline"/>
        <w:rPr>
          <w:spacing w:val="-3"/>
          <w:highlight w:val="none"/>
        </w:rPr>
      </w:pPr>
      <w:r>
        <w:rPr>
          <w:spacing w:val="-2"/>
          <w:highlight w:val="none"/>
        </w:rPr>
        <w:t>4.在评定学年里参与辅修学习与考试者，其辅修绩点达到3及以上加1分，</w:t>
      </w:r>
      <w:r>
        <w:rPr>
          <w:spacing w:val="-3"/>
          <w:highlight w:val="none"/>
        </w:rPr>
        <w:t>3.5及以上加3分；</w:t>
      </w:r>
    </w:p>
    <w:p w14:paraId="37323559">
      <w:pPr>
        <w:pStyle w:val="4"/>
        <w:keepNext w:val="0"/>
        <w:keepLines w:val="0"/>
        <w:pageBreakBefore w:val="0"/>
        <w:widowControl/>
        <w:kinsoku w:val="0"/>
        <w:wordWrap/>
        <w:overflowPunct/>
        <w:topLinePunct w:val="0"/>
        <w:autoSpaceDE w:val="0"/>
        <w:autoSpaceDN w:val="0"/>
        <w:bidi w:val="0"/>
        <w:adjustRightInd w:val="0"/>
        <w:snapToGrid w:val="0"/>
        <w:spacing w:line="360" w:lineRule="auto"/>
        <w:ind w:right="0" w:firstLine="628" w:firstLineChars="200"/>
        <w:textAlignment w:val="baseline"/>
        <w:rPr>
          <w:spacing w:val="-4"/>
          <w:highlight w:val="none"/>
        </w:rPr>
      </w:pPr>
      <w:r>
        <w:rPr>
          <w:spacing w:val="-3"/>
          <w:highlight w:val="none"/>
        </w:rPr>
        <w:t>5.只有在目标评定年度参加以上考试的成绩才可</w:t>
      </w:r>
      <w:r>
        <w:rPr>
          <w:spacing w:val="-4"/>
          <w:highlight w:val="none"/>
        </w:rPr>
        <w:t>加分。</w:t>
      </w:r>
    </w:p>
    <w:p w14:paraId="336B75E6">
      <w:pPr>
        <w:pStyle w:val="4"/>
        <w:keepNext w:val="0"/>
        <w:keepLines w:val="0"/>
        <w:pageBreakBefore w:val="0"/>
        <w:widowControl/>
        <w:kinsoku w:val="0"/>
        <w:wordWrap/>
        <w:overflowPunct/>
        <w:topLinePunct w:val="0"/>
        <w:autoSpaceDE w:val="0"/>
        <w:autoSpaceDN w:val="0"/>
        <w:bidi w:val="0"/>
        <w:adjustRightInd w:val="0"/>
        <w:snapToGrid w:val="0"/>
        <w:spacing w:line="360" w:lineRule="auto"/>
        <w:ind w:right="0" w:firstLine="624" w:firstLineChars="200"/>
        <w:textAlignment w:val="baseline"/>
        <w:rPr>
          <w:rFonts w:hint="default" w:eastAsia="仿宋"/>
          <w:spacing w:val="-4"/>
          <w:highlight w:val="none"/>
          <w:lang w:val="en-US" w:eastAsia="zh-CN"/>
        </w:rPr>
      </w:pPr>
      <w:r>
        <w:rPr>
          <w:rFonts w:hint="eastAsia"/>
          <w:spacing w:val="-4"/>
          <w:highlight w:val="none"/>
          <w:lang w:val="en-US" w:eastAsia="zh-CN"/>
        </w:rPr>
        <w:t>6.同一学年内参加的相同专业技能考试，取最好成绩加一次分，不累计加分。</w:t>
      </w:r>
    </w:p>
    <w:p w14:paraId="6AD03608">
      <w:pPr>
        <w:pStyle w:val="3"/>
        <w:keepNext w:val="0"/>
        <w:keepLines w:val="0"/>
        <w:pageBreakBefore w:val="0"/>
        <w:widowControl/>
        <w:kinsoku w:val="0"/>
        <w:wordWrap/>
        <w:overflowPunct/>
        <w:topLinePunct w:val="0"/>
        <w:autoSpaceDE w:val="0"/>
        <w:autoSpaceDN w:val="0"/>
        <w:bidi w:val="0"/>
        <w:adjustRightInd w:val="0"/>
        <w:snapToGrid w:val="0"/>
        <w:ind w:right="0" w:firstLine="640" w:firstLineChars="200"/>
        <w:textAlignment w:val="baseline"/>
        <w:rPr>
          <w:highlight w:val="none"/>
        </w:rPr>
      </w:pPr>
      <w:r>
        <w:rPr>
          <w:highlight w:val="none"/>
        </w:rPr>
        <w:t>（</w:t>
      </w:r>
      <w:r>
        <w:rPr>
          <w:rFonts w:hint="eastAsia"/>
          <w:highlight w:val="none"/>
          <w:lang w:val="en-US" w:eastAsia="zh-CN"/>
        </w:rPr>
        <w:t>六</w:t>
      </w:r>
      <w:r>
        <w:rPr>
          <w:highlight w:val="none"/>
        </w:rPr>
        <w:t>）其他加分注意事项</w:t>
      </w:r>
    </w:p>
    <w:p w14:paraId="2987C99A">
      <w:pPr>
        <w:pStyle w:val="4"/>
        <w:keepNext w:val="0"/>
        <w:keepLines w:val="0"/>
        <w:pageBreakBefore w:val="0"/>
        <w:widowControl/>
        <w:kinsoku w:val="0"/>
        <w:wordWrap/>
        <w:overflowPunct/>
        <w:topLinePunct w:val="0"/>
        <w:autoSpaceDE w:val="0"/>
        <w:autoSpaceDN w:val="0"/>
        <w:bidi w:val="0"/>
        <w:adjustRightInd w:val="0"/>
        <w:snapToGrid w:val="0"/>
        <w:spacing w:line="360" w:lineRule="auto"/>
        <w:ind w:right="0" w:firstLine="628" w:firstLineChars="200"/>
        <w:textAlignment w:val="baseline"/>
        <w:outlineLvl w:val="3"/>
        <w:rPr>
          <w:spacing w:val="-4"/>
          <w:highlight w:val="none"/>
        </w:rPr>
      </w:pPr>
      <w:r>
        <w:rPr>
          <w:spacing w:val="-3"/>
          <w:highlight w:val="none"/>
        </w:rPr>
        <w:t>1.同一课题、作品或同一系列竞赛，取其最高</w:t>
      </w:r>
      <w:r>
        <w:rPr>
          <w:spacing w:val="-4"/>
          <w:highlight w:val="none"/>
        </w:rPr>
        <w:t>得分项目加分，不重复加分；</w:t>
      </w:r>
    </w:p>
    <w:p w14:paraId="120E7533">
      <w:pPr>
        <w:pStyle w:val="4"/>
        <w:keepNext w:val="0"/>
        <w:keepLines w:val="0"/>
        <w:pageBreakBefore w:val="0"/>
        <w:widowControl/>
        <w:kinsoku w:val="0"/>
        <w:wordWrap/>
        <w:overflowPunct/>
        <w:topLinePunct w:val="0"/>
        <w:autoSpaceDE w:val="0"/>
        <w:autoSpaceDN w:val="0"/>
        <w:bidi w:val="0"/>
        <w:adjustRightInd w:val="0"/>
        <w:snapToGrid w:val="0"/>
        <w:spacing w:line="360" w:lineRule="auto"/>
        <w:ind w:right="0" w:firstLine="640" w:firstLineChars="200"/>
        <w:textAlignment w:val="baseline"/>
        <w:outlineLvl w:val="3"/>
        <w:rPr>
          <w:highlight w:val="none"/>
        </w:rPr>
      </w:pPr>
      <w:r>
        <w:rPr>
          <w:highlight w:val="none"/>
        </w:rPr>
        <w:t>2.各类比赛或作品是否适用学术科技类加分，由</w:t>
      </w:r>
      <w:r>
        <w:rPr>
          <w:spacing w:val="-1"/>
          <w:highlight w:val="none"/>
        </w:rPr>
        <w:t>学院综合素质评价工作领导小组</w:t>
      </w:r>
      <w:r>
        <w:rPr>
          <w:spacing w:val="-5"/>
          <w:highlight w:val="none"/>
        </w:rPr>
        <w:t>经咨询专家后决定。</w:t>
      </w:r>
    </w:p>
    <w:p w14:paraId="0C693EBC">
      <w:pPr>
        <w:pStyle w:val="2"/>
        <w:bidi w:val="0"/>
        <w:rPr>
          <w:highlight w:val="none"/>
        </w:rPr>
      </w:pPr>
      <w:r>
        <w:rPr>
          <w:highlight w:val="none"/>
        </w:rPr>
        <w:t>第三条</w:t>
      </w:r>
      <w:r>
        <w:rPr>
          <w:rFonts w:hint="eastAsia"/>
          <w:highlight w:val="none"/>
          <w:lang w:val="en-US" w:eastAsia="zh-CN"/>
        </w:rPr>
        <w:t xml:space="preserve"> </w:t>
      </w:r>
      <w:r>
        <w:rPr>
          <w:highlight w:val="none"/>
        </w:rPr>
        <w:t>体育素养模块分</w:t>
      </w:r>
    </w:p>
    <w:p w14:paraId="65311A77">
      <w:pPr>
        <w:pStyle w:val="4"/>
        <w:keepNext w:val="0"/>
        <w:keepLines w:val="0"/>
        <w:pageBreakBefore w:val="0"/>
        <w:widowControl/>
        <w:kinsoku w:val="0"/>
        <w:wordWrap/>
        <w:overflowPunct/>
        <w:topLinePunct w:val="0"/>
        <w:autoSpaceDE w:val="0"/>
        <w:autoSpaceDN w:val="0"/>
        <w:bidi w:val="0"/>
        <w:adjustRightInd w:val="0"/>
        <w:snapToGrid w:val="0"/>
        <w:spacing w:line="360" w:lineRule="auto"/>
        <w:ind w:right="0" w:firstLine="636" w:firstLineChars="200"/>
        <w:textAlignment w:val="baseline"/>
        <w:rPr>
          <w:spacing w:val="-1"/>
          <w:highlight w:val="none"/>
        </w:rPr>
      </w:pPr>
      <w:r>
        <w:rPr>
          <w:spacing w:val="-1"/>
          <w:highlight w:val="none"/>
        </w:rPr>
        <w:t>（体育素养模块分=体质测试加分+体育活动参与加分+体育活动荣誉加分-扣分）</w:t>
      </w:r>
    </w:p>
    <w:p w14:paraId="0079ABFA">
      <w:pPr>
        <w:pStyle w:val="3"/>
        <w:keepNext w:val="0"/>
        <w:keepLines w:val="0"/>
        <w:pageBreakBefore w:val="0"/>
        <w:widowControl/>
        <w:kinsoku w:val="0"/>
        <w:wordWrap/>
        <w:overflowPunct/>
        <w:topLinePunct w:val="0"/>
        <w:autoSpaceDE w:val="0"/>
        <w:autoSpaceDN w:val="0"/>
        <w:bidi w:val="0"/>
        <w:adjustRightInd w:val="0"/>
        <w:snapToGrid w:val="0"/>
        <w:ind w:right="0" w:firstLine="640" w:firstLineChars="200"/>
        <w:textAlignment w:val="baseline"/>
        <w:rPr>
          <w:highlight w:val="none"/>
        </w:rPr>
      </w:pPr>
      <w:r>
        <w:rPr>
          <w:highlight w:val="none"/>
        </w:rPr>
        <w:t>（一）体质测试加分</w:t>
      </w:r>
    </w:p>
    <w:p w14:paraId="6CA39A69">
      <w:pPr>
        <w:pStyle w:val="4"/>
        <w:keepNext w:val="0"/>
        <w:keepLines w:val="0"/>
        <w:pageBreakBefore w:val="0"/>
        <w:widowControl/>
        <w:kinsoku w:val="0"/>
        <w:wordWrap/>
        <w:overflowPunct/>
        <w:topLinePunct w:val="0"/>
        <w:autoSpaceDE w:val="0"/>
        <w:autoSpaceDN w:val="0"/>
        <w:bidi w:val="0"/>
        <w:adjustRightInd w:val="0"/>
        <w:snapToGrid w:val="0"/>
        <w:spacing w:line="360" w:lineRule="auto"/>
        <w:ind w:right="0" w:firstLine="600" w:firstLineChars="200"/>
        <w:textAlignment w:val="baseline"/>
        <w:rPr>
          <w:highlight w:val="none"/>
        </w:rPr>
      </w:pPr>
      <w:r>
        <w:rPr>
          <w:spacing w:val="-10"/>
          <w:highlight w:val="none"/>
        </w:rPr>
        <w:t>体质测试总评达到优以上标准（90分及以上）给予加4分，达到良好以上标准（80-90</w:t>
      </w:r>
      <w:r>
        <w:rPr>
          <w:spacing w:val="-7"/>
          <w:highlight w:val="none"/>
        </w:rPr>
        <w:t>分）给予加2分。</w:t>
      </w:r>
    </w:p>
    <w:p w14:paraId="3855B070">
      <w:pPr>
        <w:pStyle w:val="3"/>
        <w:keepNext w:val="0"/>
        <w:keepLines w:val="0"/>
        <w:pageBreakBefore w:val="0"/>
        <w:widowControl/>
        <w:kinsoku w:val="0"/>
        <w:wordWrap/>
        <w:overflowPunct/>
        <w:topLinePunct w:val="0"/>
        <w:autoSpaceDE w:val="0"/>
        <w:autoSpaceDN w:val="0"/>
        <w:bidi w:val="0"/>
        <w:adjustRightInd w:val="0"/>
        <w:snapToGrid w:val="0"/>
        <w:ind w:right="0" w:firstLine="640" w:firstLineChars="200"/>
        <w:textAlignment w:val="baseline"/>
        <w:rPr>
          <w:highlight w:val="none"/>
        </w:rPr>
      </w:pPr>
      <w:r>
        <w:rPr>
          <w:highlight w:val="none"/>
        </w:rPr>
        <w:t>（二）体育活动参与加分</w:t>
      </w:r>
    </w:p>
    <w:p w14:paraId="2E426123">
      <w:pPr>
        <w:pStyle w:val="4"/>
        <w:keepNext w:val="0"/>
        <w:keepLines w:val="0"/>
        <w:pageBreakBefore w:val="0"/>
        <w:widowControl/>
        <w:kinsoku w:val="0"/>
        <w:wordWrap/>
        <w:overflowPunct/>
        <w:topLinePunct w:val="0"/>
        <w:autoSpaceDE w:val="0"/>
        <w:autoSpaceDN w:val="0"/>
        <w:bidi w:val="0"/>
        <w:adjustRightInd w:val="0"/>
        <w:snapToGrid w:val="0"/>
        <w:spacing w:line="360" w:lineRule="auto"/>
        <w:ind w:right="0" w:firstLine="636" w:firstLineChars="200"/>
        <w:jc w:val="both"/>
        <w:textAlignment w:val="baseline"/>
        <w:rPr>
          <w:spacing w:val="-4"/>
          <w:highlight w:val="none"/>
        </w:rPr>
      </w:pPr>
      <w:r>
        <w:rPr>
          <w:spacing w:val="-1"/>
          <w:highlight w:val="none"/>
        </w:rPr>
        <w:t>1.参加体育比赛，如运动会（包括校运会、院运会开幕式中参加啦啦操、彩旗队</w:t>
      </w:r>
      <w:r>
        <w:rPr>
          <w:highlight w:val="none"/>
        </w:rPr>
        <w:t>和方阵队）、篮球赛、足球赛、羽毛球</w:t>
      </w:r>
      <w:r>
        <w:rPr>
          <w:rFonts w:hint="eastAsia"/>
          <w:highlight w:val="none"/>
          <w:lang w:val="en-US" w:eastAsia="zh-CN"/>
        </w:rPr>
        <w:t>赛</w:t>
      </w:r>
      <w:r>
        <w:rPr>
          <w:highlight w:val="none"/>
        </w:rPr>
        <w:t>等，每届每</w:t>
      </w:r>
      <w:r>
        <w:rPr>
          <w:spacing w:val="-1"/>
          <w:highlight w:val="none"/>
        </w:rPr>
        <w:t>项按照国家级、省、市级、校级、院</w:t>
      </w:r>
      <w:r>
        <w:rPr>
          <w:spacing w:val="-2"/>
          <w:highlight w:val="none"/>
        </w:rPr>
        <w:t>级分别加9分、6分、4.5分、3分、1.5分。各级别趣味运动项目或趣</w:t>
      </w:r>
      <w:r>
        <w:rPr>
          <w:spacing w:val="-3"/>
          <w:highlight w:val="none"/>
        </w:rPr>
        <w:t>味运动会参加一</w:t>
      </w:r>
      <w:r>
        <w:rPr>
          <w:spacing w:val="-1"/>
          <w:highlight w:val="none"/>
        </w:rPr>
        <w:t>次加1分，不按照项目数量累计加分（所在</w:t>
      </w:r>
      <w:r>
        <w:rPr>
          <w:spacing w:val="-2"/>
          <w:highlight w:val="none"/>
        </w:rPr>
        <w:t>社团或系统内部用于培训、交流性质的趣味</w:t>
      </w:r>
      <w:r>
        <w:rPr>
          <w:spacing w:val="-3"/>
          <w:highlight w:val="none"/>
        </w:rPr>
        <w:t>运动会不加分</w:t>
      </w:r>
      <w:r>
        <w:rPr>
          <w:spacing w:val="-34"/>
          <w:highlight w:val="none"/>
        </w:rPr>
        <w:t>），</w:t>
      </w:r>
      <w:r>
        <w:rPr>
          <w:spacing w:val="-3"/>
          <w:highlight w:val="none"/>
        </w:rPr>
        <w:t>报名但未参加者不予以加分；参加职</w:t>
      </w:r>
      <w:r>
        <w:rPr>
          <w:spacing w:val="-4"/>
          <w:highlight w:val="none"/>
        </w:rPr>
        <w:t>业俱乐部或商业性比赛的不加分；</w:t>
      </w:r>
    </w:p>
    <w:p w14:paraId="7BF362B3">
      <w:pPr>
        <w:pStyle w:val="4"/>
        <w:keepNext w:val="0"/>
        <w:keepLines w:val="0"/>
        <w:pageBreakBefore w:val="0"/>
        <w:widowControl/>
        <w:kinsoku w:val="0"/>
        <w:wordWrap/>
        <w:overflowPunct/>
        <w:topLinePunct w:val="0"/>
        <w:autoSpaceDE w:val="0"/>
        <w:autoSpaceDN w:val="0"/>
        <w:bidi w:val="0"/>
        <w:adjustRightInd w:val="0"/>
        <w:snapToGrid w:val="0"/>
        <w:spacing w:line="360" w:lineRule="auto"/>
        <w:ind w:right="0" w:firstLine="612" w:firstLineChars="200"/>
        <w:jc w:val="both"/>
        <w:textAlignment w:val="baseline"/>
        <w:rPr>
          <w:highlight w:val="none"/>
        </w:rPr>
      </w:pPr>
      <w:r>
        <w:rPr>
          <w:spacing w:val="-7"/>
          <w:highlight w:val="none"/>
        </w:rPr>
        <w:t>2.校级和院级篮球、足球、排球队等体育队伍的队员，如认真完成一学年训练者，</w:t>
      </w:r>
      <w:r>
        <w:rPr>
          <w:spacing w:val="-4"/>
          <w:highlight w:val="none"/>
        </w:rPr>
        <w:t>每人分别加5分和3分，一学期者按50％计分。队长在原加分</w:t>
      </w:r>
      <w:r>
        <w:rPr>
          <w:spacing w:val="-5"/>
          <w:highlight w:val="none"/>
        </w:rPr>
        <w:t>基础上再加2分，副队长</w:t>
      </w:r>
      <w:r>
        <w:rPr>
          <w:spacing w:val="-1"/>
          <w:highlight w:val="none"/>
        </w:rPr>
        <w:t>加1分。担任体育队伍教练或经理加分与副队长等</w:t>
      </w:r>
      <w:r>
        <w:rPr>
          <w:spacing w:val="-2"/>
          <w:highlight w:val="none"/>
        </w:rPr>
        <w:t>同。以上人员名单由学生会体育部提</w:t>
      </w:r>
      <w:r>
        <w:rPr>
          <w:spacing w:val="-5"/>
          <w:highlight w:val="none"/>
        </w:rPr>
        <w:t>供，学生会指导老师签字确认；</w:t>
      </w:r>
    </w:p>
    <w:p w14:paraId="7D0469B1">
      <w:pPr>
        <w:pStyle w:val="4"/>
        <w:keepNext w:val="0"/>
        <w:keepLines w:val="0"/>
        <w:pageBreakBefore w:val="0"/>
        <w:widowControl/>
        <w:kinsoku w:val="0"/>
        <w:wordWrap/>
        <w:overflowPunct/>
        <w:topLinePunct w:val="0"/>
        <w:autoSpaceDE w:val="0"/>
        <w:autoSpaceDN w:val="0"/>
        <w:bidi w:val="0"/>
        <w:adjustRightInd w:val="0"/>
        <w:snapToGrid w:val="0"/>
        <w:spacing w:line="360" w:lineRule="auto"/>
        <w:ind w:right="0" w:firstLine="636" w:firstLineChars="200"/>
        <w:textAlignment w:val="baseline"/>
        <w:rPr>
          <w:highlight w:val="none"/>
        </w:rPr>
      </w:pPr>
      <w:r>
        <w:rPr>
          <w:spacing w:val="-1"/>
          <w:highlight w:val="none"/>
        </w:rPr>
        <w:t>3.担任各级各类体育比赛的裁判者，裁判队队员按照参与比赛场数</w:t>
      </w:r>
      <w:r>
        <w:rPr>
          <w:spacing w:val="-2"/>
          <w:highlight w:val="none"/>
        </w:rPr>
        <w:t>加分，每场1</w:t>
      </w:r>
      <w:r>
        <w:rPr>
          <w:spacing w:val="-3"/>
          <w:highlight w:val="none"/>
        </w:rPr>
        <w:t>分，本项目累计不超过10分；但由于职务职责要求参加服务的不计分。</w:t>
      </w:r>
    </w:p>
    <w:p w14:paraId="3D9B2F5A">
      <w:pPr>
        <w:pStyle w:val="3"/>
        <w:keepNext w:val="0"/>
        <w:keepLines w:val="0"/>
        <w:pageBreakBefore w:val="0"/>
        <w:widowControl/>
        <w:kinsoku w:val="0"/>
        <w:wordWrap/>
        <w:overflowPunct/>
        <w:topLinePunct w:val="0"/>
        <w:autoSpaceDE w:val="0"/>
        <w:autoSpaceDN w:val="0"/>
        <w:bidi w:val="0"/>
        <w:adjustRightInd w:val="0"/>
        <w:snapToGrid w:val="0"/>
        <w:ind w:right="0" w:firstLine="640" w:firstLineChars="200"/>
        <w:textAlignment w:val="baseline"/>
        <w:rPr>
          <w:highlight w:val="none"/>
        </w:rPr>
      </w:pPr>
      <w:r>
        <w:rPr>
          <w:highlight w:val="none"/>
        </w:rPr>
        <w:t>（三）体育活动荣誉加分</w:t>
      </w:r>
    </w:p>
    <w:p w14:paraId="69BFCD85">
      <w:pPr>
        <w:pStyle w:val="4"/>
        <w:keepNext w:val="0"/>
        <w:keepLines w:val="0"/>
        <w:pageBreakBefore w:val="0"/>
        <w:widowControl/>
        <w:kinsoku w:val="0"/>
        <w:wordWrap/>
        <w:overflowPunct/>
        <w:topLinePunct w:val="0"/>
        <w:autoSpaceDE w:val="0"/>
        <w:autoSpaceDN w:val="0"/>
        <w:bidi w:val="0"/>
        <w:adjustRightInd w:val="0"/>
        <w:snapToGrid w:val="0"/>
        <w:spacing w:line="360" w:lineRule="auto"/>
        <w:ind w:right="0" w:firstLine="636" w:firstLineChars="200"/>
        <w:textAlignment w:val="baseline"/>
        <w:rPr>
          <w:highlight w:val="none"/>
        </w:rPr>
      </w:pPr>
      <w:r>
        <w:rPr>
          <w:spacing w:val="-1"/>
          <w:highlight w:val="none"/>
        </w:rPr>
        <w:t>1.在体育类竞赛中获得个人名次的运动员，校级第一名加10分，第二加9分，第</w:t>
      </w:r>
      <w:r>
        <w:rPr>
          <w:spacing w:val="1"/>
          <w:highlight w:val="none"/>
        </w:rPr>
        <w:t>三名加8分，第四名加7分，第五名加6分，第六至第八名</w:t>
      </w:r>
      <w:r>
        <w:rPr>
          <w:highlight w:val="none"/>
        </w:rPr>
        <w:t>加4分；国家级获奖者按校</w:t>
      </w:r>
      <w:r>
        <w:rPr>
          <w:spacing w:val="-3"/>
          <w:highlight w:val="none"/>
        </w:rPr>
        <w:t>级的3倍计分；省级获奖者按校级的2倍计分；市级获奖者按校级的1.5倍计分；院级</w:t>
      </w:r>
      <w:r>
        <w:rPr>
          <w:spacing w:val="-6"/>
          <w:highlight w:val="none"/>
        </w:rPr>
        <w:t>竞赛获奖者按校级的50％计分。在体育竞赛中获得名次的团体，每人</w:t>
      </w:r>
      <w:r>
        <w:rPr>
          <w:spacing w:val="-7"/>
          <w:highlight w:val="none"/>
        </w:rPr>
        <w:t>按照上述指标加分。</w:t>
      </w:r>
    </w:p>
    <w:p w14:paraId="0825AB19">
      <w:pPr>
        <w:pStyle w:val="4"/>
        <w:spacing w:before="38" w:line="360" w:lineRule="auto"/>
        <w:ind w:right="86" w:firstLine="636" w:firstLineChars="200"/>
        <w:rPr>
          <w:highlight w:val="none"/>
        </w:rPr>
      </w:pPr>
      <w:r>
        <w:rPr>
          <w:spacing w:val="-1"/>
          <w:highlight w:val="none"/>
        </w:rPr>
        <w:t>2.获得“优秀运动员”、“优秀裁判”称号的同</w:t>
      </w:r>
      <w:r>
        <w:rPr>
          <w:spacing w:val="-2"/>
          <w:highlight w:val="none"/>
        </w:rPr>
        <w:t>学，省级以上加9分，校级加7</w:t>
      </w:r>
      <w:r>
        <w:rPr>
          <w:spacing w:val="-1"/>
          <w:highlight w:val="none"/>
        </w:rPr>
        <w:t>分，院级加5分；同类称号重复获奖的按最高获奖级别计分；在体育</w:t>
      </w:r>
      <w:r>
        <w:rPr>
          <w:spacing w:val="-2"/>
          <w:highlight w:val="none"/>
        </w:rPr>
        <w:t>类竞赛中破记录者</w:t>
      </w:r>
      <w:r>
        <w:rPr>
          <w:spacing w:val="-3"/>
          <w:highlight w:val="none"/>
        </w:rPr>
        <w:t>按照国家级、省级、校级、院级分别另加20分、15分、10分、5分；</w:t>
      </w:r>
    </w:p>
    <w:p w14:paraId="34475E84">
      <w:pPr>
        <w:pStyle w:val="4"/>
        <w:spacing w:before="37" w:line="360" w:lineRule="auto"/>
        <w:ind w:firstLine="636" w:firstLineChars="200"/>
        <w:rPr>
          <w:highlight w:val="none"/>
        </w:rPr>
      </w:pPr>
      <w:r>
        <w:rPr>
          <w:spacing w:val="-1"/>
          <w:highlight w:val="none"/>
        </w:rPr>
        <w:t>3.获得以上未提及体育运动相关称号的同</w:t>
      </w:r>
      <w:r>
        <w:rPr>
          <w:spacing w:val="-2"/>
          <w:highlight w:val="none"/>
        </w:rPr>
        <w:t>学经班评定小组确定的，可按照国家级、省级、校级、院级加5、3、1、0.5分。同一称号只能按最高加分项进行一次加分。</w:t>
      </w:r>
    </w:p>
    <w:p w14:paraId="456E5C73">
      <w:pPr>
        <w:pStyle w:val="4"/>
        <w:spacing w:before="33" w:line="360" w:lineRule="auto"/>
        <w:ind w:firstLine="628" w:firstLineChars="200"/>
        <w:outlineLvl w:val="3"/>
        <w:rPr>
          <w:highlight w:val="none"/>
        </w:rPr>
      </w:pPr>
      <w:r>
        <w:rPr>
          <w:spacing w:val="-3"/>
          <w:highlight w:val="none"/>
        </w:rPr>
        <w:t>4.趣味运动会获奖不加分。</w:t>
      </w:r>
    </w:p>
    <w:p w14:paraId="4871A273">
      <w:pPr>
        <w:pStyle w:val="3"/>
        <w:bidi w:val="0"/>
        <w:spacing w:line="360" w:lineRule="auto"/>
        <w:ind w:firstLine="640" w:firstLineChars="200"/>
        <w:rPr>
          <w:highlight w:val="none"/>
        </w:rPr>
      </w:pPr>
      <w:r>
        <w:rPr>
          <w:highlight w:val="none"/>
        </w:rPr>
        <w:t>（四）扣分标准</w:t>
      </w:r>
    </w:p>
    <w:p w14:paraId="1637A0C8">
      <w:pPr>
        <w:pStyle w:val="3"/>
        <w:bidi w:val="0"/>
        <w:spacing w:line="360" w:lineRule="auto"/>
        <w:ind w:firstLine="640" w:firstLineChars="200"/>
        <w:rPr>
          <w:highlight w:val="none"/>
        </w:rPr>
      </w:pPr>
      <w:r>
        <w:rPr>
          <w:rStyle w:val="15"/>
          <w:highlight w:val="none"/>
        </w:rPr>
        <w:t>凡学校、学院要求统一参加的体育活动不参加者，每次扣1分(由班级综合素质评价小组界定)</w:t>
      </w:r>
      <w:r>
        <w:rPr>
          <w:spacing w:val="-2"/>
          <w:highlight w:val="none"/>
        </w:rPr>
        <w:t>。</w:t>
      </w:r>
    </w:p>
    <w:p w14:paraId="22402E72">
      <w:pPr>
        <w:pStyle w:val="4"/>
        <w:spacing w:before="38" w:line="360" w:lineRule="auto"/>
        <w:ind w:left="538"/>
        <w:rPr>
          <w:highlight w:val="none"/>
        </w:rPr>
      </w:pPr>
      <w:r>
        <w:rPr>
          <w:rStyle w:val="15"/>
          <w:highlight w:val="none"/>
        </w:rPr>
        <w:t>违反体育道德者各班评议小组自行决定酌情扣分</w:t>
      </w:r>
      <w:r>
        <w:rPr>
          <w:spacing w:val="-2"/>
          <w:highlight w:val="none"/>
        </w:rPr>
        <w:t>。</w:t>
      </w:r>
    </w:p>
    <w:p w14:paraId="3CAD4004">
      <w:pPr>
        <w:pStyle w:val="2"/>
        <w:numPr>
          <w:ilvl w:val="0"/>
          <w:numId w:val="0"/>
        </w:numPr>
        <w:bidi w:val="0"/>
        <w:ind w:firstLine="640" w:firstLineChars="200"/>
        <w:rPr>
          <w:highlight w:val="none"/>
        </w:rPr>
      </w:pPr>
      <w:r>
        <w:rPr>
          <w:rFonts w:hint="eastAsia"/>
          <w:highlight w:val="none"/>
          <w:lang w:val="en-US" w:eastAsia="zh-CN"/>
        </w:rPr>
        <w:t xml:space="preserve">第四条 </w:t>
      </w:r>
      <w:r>
        <w:rPr>
          <w:highlight w:val="none"/>
        </w:rPr>
        <w:t>美育素养模块分</w:t>
      </w:r>
    </w:p>
    <w:p w14:paraId="583254C0">
      <w:pPr>
        <w:pStyle w:val="4"/>
        <w:bidi w:val="0"/>
        <w:ind w:firstLine="640" w:firstLineChars="200"/>
        <w:rPr>
          <w:highlight w:val="none"/>
        </w:rPr>
      </w:pPr>
      <w:r>
        <w:rPr>
          <w:highlight w:val="none"/>
        </w:rPr>
        <w:t>（美育素养模块分=文娱活动参与加分+文娱活动荣誉加分+</w:t>
      </w:r>
      <w:r>
        <w:rPr>
          <w:rFonts w:hint="eastAsia"/>
          <w:highlight w:val="none"/>
          <w:lang w:val="en-US" w:eastAsia="zh-CN"/>
        </w:rPr>
        <w:t>其他</w:t>
      </w:r>
      <w:r>
        <w:rPr>
          <w:highlight w:val="none"/>
        </w:rPr>
        <w:t>类比赛参与加分-扣分）</w:t>
      </w:r>
    </w:p>
    <w:p w14:paraId="6264B416">
      <w:pPr>
        <w:pStyle w:val="3"/>
        <w:bidi w:val="0"/>
        <w:ind w:firstLine="640" w:firstLineChars="200"/>
        <w:rPr>
          <w:highlight w:val="none"/>
        </w:rPr>
      </w:pPr>
      <w:r>
        <w:rPr>
          <w:rFonts w:hint="eastAsia"/>
          <w:highlight w:val="none"/>
          <w:lang w:val="en-US" w:eastAsia="en-US"/>
        </w:rPr>
        <w:t>（一）</w:t>
      </w:r>
      <w:r>
        <w:rPr>
          <w:highlight w:val="none"/>
        </w:rPr>
        <w:t>文娱活动参与加分</w:t>
      </w:r>
    </w:p>
    <w:p w14:paraId="39C93C56">
      <w:pPr>
        <w:pStyle w:val="4"/>
        <w:numPr>
          <w:ilvl w:val="0"/>
          <w:numId w:val="0"/>
        </w:numPr>
        <w:spacing w:before="31" w:line="360" w:lineRule="auto"/>
        <w:ind w:firstLine="636" w:firstLineChars="200"/>
        <w:rPr>
          <w:highlight w:val="none"/>
        </w:rPr>
      </w:pPr>
      <w:r>
        <w:rPr>
          <w:spacing w:val="-1"/>
          <w:highlight w:val="none"/>
        </w:rPr>
        <w:t>1.参加国家级、省级、市级、校级、院级文娱竞赛或在此类活动中做主</w:t>
      </w:r>
      <w:r>
        <w:rPr>
          <w:spacing w:val="-2"/>
          <w:highlight w:val="none"/>
        </w:rPr>
        <w:t>持人、表演嘉宾的分别加8分，6分，4分，3分，2分（军训合唱比赛按照此条加分</w:t>
      </w:r>
      <w:r>
        <w:rPr>
          <w:rFonts w:hint="eastAsia"/>
          <w:spacing w:val="-2"/>
          <w:highlight w:val="none"/>
          <w:lang w:eastAsia="zh-CN"/>
        </w:rPr>
        <w:t>，</w:t>
      </w:r>
      <w:r>
        <w:rPr>
          <w:spacing w:val="-3"/>
          <w:highlight w:val="none"/>
        </w:rPr>
        <w:t>以院级计</w:t>
      </w:r>
      <w:r>
        <w:rPr>
          <w:highlight w:val="none"/>
        </w:rPr>
        <w:t>分</w:t>
      </w:r>
      <w:r>
        <w:rPr>
          <w:rFonts w:hint="eastAsia"/>
          <w:highlight w:val="none"/>
          <w:lang w:eastAsia="zh-CN"/>
        </w:rPr>
        <w:t>；</w:t>
      </w:r>
      <w:r>
        <w:rPr>
          <w:rFonts w:hint="eastAsia"/>
          <w:spacing w:val="-2"/>
          <w:highlight w:val="none"/>
          <w:lang w:val="en-US" w:eastAsia="zh-CN"/>
        </w:rPr>
        <w:t>模拟联合国大会</w:t>
      </w:r>
      <w:r>
        <w:rPr>
          <w:spacing w:val="-2"/>
          <w:highlight w:val="none"/>
        </w:rPr>
        <w:t>按照此条加分</w:t>
      </w:r>
      <w:r>
        <w:rPr>
          <w:spacing w:val="-3"/>
          <w:highlight w:val="none"/>
        </w:rPr>
        <w:t>），</w:t>
      </w:r>
      <w:r>
        <w:rPr>
          <w:highlight w:val="none"/>
        </w:rPr>
        <w:t>同一场次参加多个节目的演出，按节目个数加分；参加校舞蹈大</w:t>
      </w:r>
      <w:r>
        <w:rPr>
          <w:spacing w:val="-1"/>
          <w:highlight w:val="none"/>
        </w:rPr>
        <w:t>赛、合唱比赛，</w:t>
      </w:r>
      <w:r>
        <w:rPr>
          <w:highlight w:val="none"/>
        </w:rPr>
        <w:t>并表现优秀者（根据考勤和训练态度、训练质量来评定参赛</w:t>
      </w:r>
      <w:r>
        <w:rPr>
          <w:spacing w:val="-1"/>
          <w:highlight w:val="none"/>
        </w:rPr>
        <w:t>人员的表现，表现优秀者不</w:t>
      </w:r>
      <w:r>
        <w:rPr>
          <w:spacing w:val="-3"/>
          <w:highlight w:val="none"/>
        </w:rPr>
        <w:t>得超过总人数的30%，由学生会出证明</w:t>
      </w:r>
      <w:r>
        <w:rPr>
          <w:highlight w:val="none"/>
        </w:rPr>
        <w:t>），</w:t>
      </w:r>
      <w:r>
        <w:rPr>
          <w:spacing w:val="-3"/>
          <w:highlight w:val="none"/>
        </w:rPr>
        <w:t>每人另加2分；商业性质的竞赛不予以加分；</w:t>
      </w:r>
    </w:p>
    <w:p w14:paraId="18E0BBD9">
      <w:pPr>
        <w:pStyle w:val="4"/>
        <w:spacing w:before="35" w:line="360" w:lineRule="auto"/>
        <w:ind w:right="139" w:firstLine="636" w:firstLineChars="200"/>
        <w:rPr>
          <w:highlight w:val="none"/>
        </w:rPr>
      </w:pPr>
      <w:r>
        <w:rPr>
          <w:spacing w:val="-1"/>
          <w:highlight w:val="none"/>
        </w:rPr>
        <w:t>2.担任学院认可的文娱活动的节目指导者，由节目指导老师按其作用发挥高低提</w:t>
      </w:r>
      <w:r>
        <w:rPr>
          <w:highlight w:val="none"/>
        </w:rPr>
        <w:t>出加分意见，由年级综合素质评价工作小组报学院评优</w:t>
      </w:r>
      <w:r>
        <w:rPr>
          <w:spacing w:val="-1"/>
          <w:highlight w:val="none"/>
        </w:rPr>
        <w:t>工作领导小组同意后加分，每次</w:t>
      </w:r>
      <w:r>
        <w:rPr>
          <w:spacing w:val="-8"/>
          <w:highlight w:val="none"/>
        </w:rPr>
        <w:t>指导最多加5分；</w:t>
      </w:r>
    </w:p>
    <w:p w14:paraId="15DC45AA">
      <w:pPr>
        <w:spacing w:line="360" w:lineRule="auto"/>
        <w:rPr>
          <w:highlight w:val="none"/>
        </w:rPr>
        <w:sectPr>
          <w:footerReference r:id="rId5" w:type="default"/>
          <w:pgSz w:w="11907" w:h="16839"/>
          <w:pgMar w:top="1431" w:right="906" w:bottom="954" w:left="1750" w:header="0" w:footer="793" w:gutter="0"/>
          <w:pgNumType w:fmt="decimal"/>
          <w:cols w:space="720" w:num="1"/>
        </w:sectPr>
      </w:pPr>
    </w:p>
    <w:p w14:paraId="03F7DC1A">
      <w:pPr>
        <w:pStyle w:val="4"/>
        <w:spacing w:before="292" w:line="360" w:lineRule="auto"/>
        <w:ind w:right="117" w:firstLine="640" w:firstLineChars="200"/>
        <w:rPr>
          <w:highlight w:val="none"/>
        </w:rPr>
      </w:pPr>
      <w:r>
        <w:rPr>
          <w:highlight w:val="none"/>
        </w:rPr>
        <w:t>3.参加校级和院级艺术团（包括舞蹈队、小</w:t>
      </w:r>
      <w:r>
        <w:rPr>
          <w:spacing w:val="-1"/>
          <w:highlight w:val="none"/>
        </w:rPr>
        <w:t>品队、合唱队、主持人队、礼仪队、</w:t>
      </w:r>
      <w:r>
        <w:rPr>
          <w:spacing w:val="-3"/>
          <w:highlight w:val="none"/>
        </w:rPr>
        <w:t>辩论队等）训练满一年且表现优良者，每人分别加5分和3分；一学期者按50％计分。以上人员名单由学生会文娱部提供，学生会指导老师签字确认；</w:t>
      </w:r>
    </w:p>
    <w:p w14:paraId="055421BA">
      <w:pPr>
        <w:pStyle w:val="4"/>
        <w:spacing w:before="35" w:line="360" w:lineRule="auto"/>
        <w:ind w:right="117" w:firstLine="636" w:firstLineChars="200"/>
        <w:rPr>
          <w:highlight w:val="none"/>
        </w:rPr>
      </w:pPr>
      <w:r>
        <w:rPr>
          <w:spacing w:val="-1"/>
          <w:highlight w:val="none"/>
        </w:rPr>
        <w:t>4.</w:t>
      </w:r>
      <w:r>
        <w:rPr>
          <w:rFonts w:hint="eastAsia" w:ascii="仿宋" w:hAnsi="仿宋" w:eastAsia="仿宋" w:cs="仿宋"/>
          <w:spacing w:val="-1"/>
          <w:highlight w:val="none"/>
        </w:rPr>
        <w:t>为院级或以上文娱演出、文娱竞赛活动</w:t>
      </w:r>
      <w:r>
        <w:rPr>
          <w:rFonts w:hint="eastAsia" w:ascii="仿宋" w:hAnsi="仿宋" w:eastAsia="仿宋" w:cs="仿宋"/>
          <w:spacing w:val="-2"/>
          <w:highlight w:val="none"/>
        </w:rPr>
        <w:t>、辩论赛等做服务工作者(如比赛评委、</w:t>
      </w:r>
      <w:r>
        <w:rPr>
          <w:rFonts w:hint="eastAsia" w:ascii="仿宋" w:hAnsi="仿宋" w:eastAsia="仿宋" w:cs="仿宋"/>
          <w:spacing w:val="-3"/>
          <w:highlight w:val="none"/>
        </w:rPr>
        <w:t>礼仪)，每次加1分，本项目累计不超过10分；在非本院的文娱活动上担任</w:t>
      </w:r>
      <w:r>
        <w:rPr>
          <w:rFonts w:hint="eastAsia" w:ascii="仿宋" w:hAnsi="仿宋" w:eastAsia="仿宋" w:cs="仿宋"/>
          <w:spacing w:val="-4"/>
          <w:highlight w:val="none"/>
        </w:rPr>
        <w:t>主持人可加</w:t>
      </w:r>
      <w:r>
        <w:rPr>
          <w:rFonts w:hint="eastAsia" w:ascii="仿宋" w:hAnsi="仿宋" w:eastAsia="仿宋" w:cs="仿宋"/>
          <w:spacing w:val="-3"/>
          <w:highlight w:val="none"/>
        </w:rPr>
        <w:t>分；但由于职务职责要求参加服务的不计分。</w:t>
      </w:r>
    </w:p>
    <w:p w14:paraId="55914435">
      <w:pPr>
        <w:pStyle w:val="3"/>
        <w:bidi w:val="0"/>
        <w:ind w:firstLine="640" w:firstLineChars="200"/>
        <w:rPr>
          <w:highlight w:val="none"/>
        </w:rPr>
      </w:pPr>
      <w:r>
        <w:rPr>
          <w:highlight w:val="none"/>
        </w:rPr>
        <w:t>（二）文娱活动荣誉加分</w:t>
      </w:r>
    </w:p>
    <w:p w14:paraId="032FB559">
      <w:pPr>
        <w:pStyle w:val="4"/>
        <w:spacing w:before="33" w:line="360" w:lineRule="auto"/>
        <w:ind w:firstLine="640" w:firstLineChars="200"/>
        <w:rPr>
          <w:highlight w:val="none"/>
        </w:rPr>
      </w:pPr>
      <w:r>
        <w:rPr>
          <w:highlight w:val="none"/>
        </w:rPr>
        <w:t>在各类文娱竞赛中获得名次者，按照校级一</w:t>
      </w:r>
      <w:r>
        <w:rPr>
          <w:spacing w:val="-1"/>
          <w:highlight w:val="none"/>
        </w:rPr>
        <w:t>等奖、二等奖、三等奖和优秀奖分别加</w:t>
      </w:r>
      <w:r>
        <w:rPr>
          <w:spacing w:val="-3"/>
          <w:highlight w:val="none"/>
        </w:rPr>
        <w:t>10分、8分、6分、4分；市级获奖者按校级的1.5倍计分；省级获奖者按校级的2倍计分；国家级获奖者按校级的</w:t>
      </w:r>
      <w:r>
        <w:rPr>
          <w:color w:val="auto"/>
          <w:spacing w:val="-3"/>
          <w:highlight w:val="none"/>
        </w:rPr>
        <w:t>3倍计分；院系级的获奖者按校级的50％计分。获得名次</w:t>
      </w:r>
      <w:r>
        <w:rPr>
          <w:color w:val="auto"/>
          <w:highlight w:val="none"/>
        </w:rPr>
        <w:t>的团体，每人按照上述指标加分。（剪纸比赛</w:t>
      </w:r>
      <w:r>
        <w:rPr>
          <w:color w:val="auto"/>
          <w:spacing w:val="-1"/>
          <w:highlight w:val="none"/>
        </w:rPr>
        <w:t>、海报比赛和学专节读书分享会、DIY手</w:t>
      </w:r>
      <w:r>
        <w:rPr>
          <w:color w:val="auto"/>
          <w:spacing w:val="-2"/>
          <w:highlight w:val="none"/>
        </w:rPr>
        <w:t>工制作大赛、才艺展示大赛列入文娱比赛加分）</w:t>
      </w:r>
    </w:p>
    <w:p w14:paraId="28295E87">
      <w:pPr>
        <w:pStyle w:val="3"/>
        <w:numPr>
          <w:ilvl w:val="0"/>
          <w:numId w:val="0"/>
        </w:numPr>
        <w:bidi w:val="0"/>
        <w:ind w:left="0" w:leftChars="0" w:firstLine="640" w:firstLineChars="200"/>
        <w:rPr>
          <w:highlight w:val="none"/>
        </w:rPr>
      </w:pPr>
      <w:r>
        <w:rPr>
          <w:rFonts w:hint="eastAsia" w:ascii="宋体" w:hAnsi="宋体" w:eastAsia="楷体" w:cs="宋体"/>
          <w:snapToGrid/>
          <w:kern w:val="44"/>
          <w:sz w:val="32"/>
          <w:szCs w:val="24"/>
          <w:highlight w:val="none"/>
          <w:lang w:val="en-US" w:eastAsia="zh-CN" w:bidi="ar-SA"/>
        </w:rPr>
        <w:t>（三）</w:t>
      </w:r>
      <w:r>
        <w:rPr>
          <w:highlight w:val="none"/>
        </w:rPr>
        <w:t>其他类比赛参与加分</w:t>
      </w:r>
    </w:p>
    <w:p w14:paraId="63FB9071">
      <w:pPr>
        <w:pStyle w:val="4"/>
        <w:bidi w:val="0"/>
        <w:ind w:firstLine="640" w:firstLineChars="200"/>
        <w:rPr>
          <w:highlight w:val="none"/>
        </w:rPr>
      </w:pPr>
      <w:r>
        <w:rPr>
          <w:highlight w:val="none"/>
        </w:rPr>
        <w:t>1.参与饮食天地杂志社举办的杂志封面设计大赛、美食节的手绘明信片比赛、夜跑活动等比赛，每次加1分，本项目累计不超过5分；</w:t>
      </w:r>
    </w:p>
    <w:p w14:paraId="54FAF8BB">
      <w:pPr>
        <w:pStyle w:val="4"/>
        <w:spacing w:before="32" w:line="360" w:lineRule="auto"/>
        <w:ind w:firstLine="632" w:firstLineChars="200"/>
        <w:outlineLvl w:val="3"/>
        <w:rPr>
          <w:color w:val="auto"/>
          <w:spacing w:val="-2"/>
          <w:highlight w:val="none"/>
        </w:rPr>
      </w:pPr>
      <w:r>
        <w:rPr>
          <w:color w:val="auto"/>
          <w:spacing w:val="-2"/>
          <w:highlight w:val="none"/>
        </w:rPr>
        <w:t>2.常识类、普识类知识竞赛</w:t>
      </w:r>
      <w:r>
        <w:rPr>
          <w:rFonts w:hint="eastAsia"/>
          <w:color w:val="auto"/>
          <w:spacing w:val="-2"/>
          <w:highlight w:val="none"/>
          <w:lang w:val="en-US" w:eastAsia="zh-CN"/>
        </w:rPr>
        <w:t>与打卡类比赛</w:t>
      </w:r>
      <w:r>
        <w:rPr>
          <w:color w:val="auto"/>
          <w:spacing w:val="-2"/>
          <w:highlight w:val="none"/>
        </w:rPr>
        <w:t>归为其他类比赛，获奖与否均只加参与分；</w:t>
      </w:r>
    </w:p>
    <w:p w14:paraId="0D059D9D">
      <w:pPr>
        <w:pStyle w:val="3"/>
        <w:bidi w:val="0"/>
        <w:ind w:firstLine="640" w:firstLineChars="200"/>
        <w:rPr>
          <w:highlight w:val="none"/>
        </w:rPr>
      </w:pPr>
      <w:r>
        <w:rPr>
          <w:highlight w:val="none"/>
        </w:rPr>
        <w:t>（四）其他类比赛荣誉加分</w:t>
      </w:r>
    </w:p>
    <w:p w14:paraId="6A137F29">
      <w:pPr>
        <w:pStyle w:val="4"/>
        <w:spacing w:before="277" w:line="360" w:lineRule="auto"/>
        <w:ind w:firstLine="628" w:firstLineChars="200"/>
        <w:rPr>
          <w:spacing w:val="-4"/>
          <w:highlight w:val="none"/>
        </w:rPr>
      </w:pPr>
      <w:r>
        <w:rPr>
          <w:spacing w:val="-3"/>
          <w:highlight w:val="none"/>
        </w:rPr>
        <w:t>1.校级一、二、三等奖和优秀奖分别加8分、6分、4分、2分；市级一、二</w:t>
      </w:r>
      <w:r>
        <w:rPr>
          <w:spacing w:val="-4"/>
          <w:highlight w:val="none"/>
        </w:rPr>
        <w:t>、三等奖和优秀奖分别加10分、8分、6分、4分；省级及以上的获奖</w:t>
      </w:r>
      <w:r>
        <w:rPr>
          <w:spacing w:val="-5"/>
          <w:highlight w:val="none"/>
        </w:rPr>
        <w:t>者分别按12、10、8、</w:t>
      </w:r>
      <w:r>
        <w:rPr>
          <w:spacing w:val="-4"/>
          <w:highlight w:val="none"/>
        </w:rPr>
        <w:t>6计分；院系级的获奖者按校级的50％计分；</w:t>
      </w:r>
    </w:p>
    <w:p w14:paraId="1B5686D1">
      <w:pPr>
        <w:pStyle w:val="4"/>
        <w:spacing w:before="277" w:line="360" w:lineRule="auto"/>
        <w:ind w:firstLine="632" w:firstLineChars="200"/>
        <w:rPr>
          <w:highlight w:val="none"/>
        </w:rPr>
      </w:pPr>
      <w:r>
        <w:rPr>
          <w:spacing w:val="-2"/>
          <w:highlight w:val="none"/>
        </w:rPr>
        <w:t>2.院级比赛按照学生当年所在学院加分，即院级比赛指教科院举办的比赛；</w:t>
      </w:r>
    </w:p>
    <w:p w14:paraId="03650CEF">
      <w:pPr>
        <w:pStyle w:val="3"/>
        <w:bidi w:val="0"/>
        <w:ind w:firstLine="640" w:firstLineChars="200"/>
        <w:rPr>
          <w:highlight w:val="none"/>
        </w:rPr>
      </w:pPr>
      <w:r>
        <w:rPr>
          <w:highlight w:val="none"/>
        </w:rPr>
        <w:t>（五）扣分标准</w:t>
      </w:r>
    </w:p>
    <w:p w14:paraId="52B53950">
      <w:pPr>
        <w:pStyle w:val="4"/>
        <w:bidi w:val="0"/>
        <w:ind w:firstLine="640" w:firstLineChars="200"/>
        <w:rPr>
          <w:highlight w:val="none"/>
        </w:rPr>
      </w:pPr>
      <w:r>
        <w:rPr>
          <w:highlight w:val="none"/>
        </w:rPr>
        <w:t>凡学校、学院要求统一参加的文娱活动（如迎新晚会、学专晚会等）不参加者，每次扣1分(由班级综合素质评价小组界定)</w:t>
      </w:r>
    </w:p>
    <w:p w14:paraId="31502DB6">
      <w:pPr>
        <w:pStyle w:val="4"/>
        <w:bidi w:val="0"/>
        <w:ind w:firstLine="640" w:firstLineChars="200"/>
        <w:rPr>
          <w:rFonts w:hint="default"/>
          <w:highlight w:val="none"/>
          <w:lang w:val="en-US"/>
        </w:rPr>
      </w:pPr>
      <w:r>
        <w:rPr>
          <w:rStyle w:val="13"/>
          <w:highlight w:val="none"/>
        </w:rPr>
        <w:t>第五条</w:t>
      </w:r>
      <w:r>
        <w:rPr>
          <w:rStyle w:val="13"/>
          <w:rFonts w:hint="eastAsia"/>
          <w:highlight w:val="none"/>
          <w:lang w:val="en-US" w:eastAsia="zh-CN"/>
        </w:rPr>
        <w:t xml:space="preserve"> </w:t>
      </w:r>
      <w:r>
        <w:rPr>
          <w:rStyle w:val="13"/>
          <w:highlight w:val="none"/>
        </w:rPr>
        <w:t>劳动素养模块分</w:t>
      </w:r>
    </w:p>
    <w:p w14:paraId="1340D2EC">
      <w:pPr>
        <w:pStyle w:val="4"/>
        <w:keepNext w:val="0"/>
        <w:keepLines w:val="0"/>
        <w:pageBreakBefore w:val="0"/>
        <w:widowControl/>
        <w:kinsoku w:val="0"/>
        <w:wordWrap/>
        <w:overflowPunct/>
        <w:topLinePunct w:val="0"/>
        <w:autoSpaceDE w:val="0"/>
        <w:autoSpaceDN w:val="0"/>
        <w:bidi w:val="0"/>
        <w:adjustRightInd w:val="0"/>
        <w:snapToGrid w:val="0"/>
        <w:spacing w:line="360" w:lineRule="auto"/>
        <w:ind w:right="0" w:firstLine="636" w:firstLineChars="200"/>
        <w:textAlignment w:val="baseline"/>
        <w:rPr>
          <w:highlight w:val="none"/>
        </w:rPr>
      </w:pPr>
      <w:r>
        <w:rPr>
          <w:spacing w:val="-1"/>
          <w:highlight w:val="none"/>
        </w:rPr>
        <w:t>（劳动素养模块分=社会实践加分+群团加分-</w:t>
      </w:r>
      <w:r>
        <w:rPr>
          <w:spacing w:val="-2"/>
          <w:highlight w:val="none"/>
        </w:rPr>
        <w:t>扣分）</w:t>
      </w:r>
    </w:p>
    <w:p w14:paraId="17E289C0">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ind w:left="0" w:leftChars="0" w:right="0" w:firstLine="640" w:firstLineChars="200"/>
        <w:textAlignment w:val="baseline"/>
        <w:rPr>
          <w:highlight w:val="none"/>
        </w:rPr>
      </w:pPr>
      <w:r>
        <w:rPr>
          <w:rFonts w:hint="eastAsia" w:ascii="宋体" w:hAnsi="宋体" w:eastAsia="楷体" w:cs="宋体"/>
          <w:snapToGrid/>
          <w:kern w:val="44"/>
          <w:sz w:val="32"/>
          <w:szCs w:val="24"/>
          <w:highlight w:val="none"/>
          <w:lang w:val="en-US" w:eastAsia="zh-CN" w:bidi="ar-SA"/>
        </w:rPr>
        <w:t>（一）</w:t>
      </w:r>
      <w:r>
        <w:rPr>
          <w:highlight w:val="none"/>
        </w:rPr>
        <w:t>社会实践加分</w:t>
      </w:r>
    </w:p>
    <w:p w14:paraId="18A23560">
      <w:pPr>
        <w:pStyle w:val="4"/>
        <w:keepNext w:val="0"/>
        <w:keepLines w:val="0"/>
        <w:pageBreakBefore w:val="0"/>
        <w:widowControl/>
        <w:kinsoku w:val="0"/>
        <w:wordWrap/>
        <w:overflowPunct/>
        <w:topLinePunct w:val="0"/>
        <w:autoSpaceDE w:val="0"/>
        <w:autoSpaceDN w:val="0"/>
        <w:bidi w:val="0"/>
        <w:adjustRightInd w:val="0"/>
        <w:snapToGrid w:val="0"/>
        <w:ind w:left="0" w:right="0" w:firstLine="640" w:firstLineChars="200"/>
        <w:textAlignment w:val="baseline"/>
        <w:rPr>
          <w:highlight w:val="none"/>
        </w:rPr>
      </w:pPr>
      <w:r>
        <w:rPr>
          <w:highlight w:val="none"/>
        </w:rPr>
        <w:t>1.参加创业实践的，团队负责人加5分，成员每人加2分；这一活动的加分校内部分以学校或学院的创业实践基地名单为准，参与非校内组织的创业实践活动以应以营业执照副本复印件和公司出具的股份构成证明（再加盖公章）等材料为准；</w:t>
      </w:r>
    </w:p>
    <w:p w14:paraId="453888D5">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32" w:firstLineChars="200"/>
        <w:jc w:val="both"/>
        <w:textAlignment w:val="baseline"/>
        <w:rPr>
          <w:highlight w:val="none"/>
        </w:rPr>
      </w:pPr>
      <w:r>
        <w:rPr>
          <w:spacing w:val="-2"/>
          <w:highlight w:val="none"/>
        </w:rPr>
        <w:t>2.凡参加青年志愿者服务，按国家、省、市级、校级、院级每次分别加16分、12分、8分、4分、2分（需出示证明，以主办单位所在的级别为准，i志愿服务明细可作</w:t>
      </w:r>
      <w:r>
        <w:rPr>
          <w:spacing w:val="-1"/>
          <w:highlight w:val="none"/>
        </w:rPr>
        <w:t>为其证明材料）；如获评“优秀志愿者”等称号，按以上对应级别的50%加</w:t>
      </w:r>
      <w:r>
        <w:rPr>
          <w:spacing w:val="-2"/>
          <w:highlight w:val="none"/>
        </w:rPr>
        <w:t>分；该项累</w:t>
      </w:r>
      <w:r>
        <w:rPr>
          <w:spacing w:val="-6"/>
          <w:highlight w:val="none"/>
        </w:rPr>
        <w:t>计加分超过20分者仍按20分计算；</w:t>
      </w:r>
    </w:p>
    <w:p w14:paraId="2140865C">
      <w:pPr>
        <w:pStyle w:val="4"/>
        <w:keepNext w:val="0"/>
        <w:keepLines w:val="0"/>
        <w:pageBreakBefore w:val="0"/>
        <w:widowControl/>
        <w:kinsoku w:val="0"/>
        <w:wordWrap/>
        <w:overflowPunct/>
        <w:topLinePunct w:val="0"/>
        <w:autoSpaceDE w:val="0"/>
        <w:autoSpaceDN w:val="0"/>
        <w:bidi w:val="0"/>
        <w:adjustRightInd w:val="0"/>
        <w:snapToGrid w:val="0"/>
        <w:spacing w:line="360" w:lineRule="auto"/>
        <w:ind w:right="0" w:firstLine="636" w:firstLineChars="200"/>
        <w:textAlignment w:val="baseline"/>
        <w:rPr>
          <w:highlight w:val="none"/>
        </w:rPr>
      </w:pPr>
      <w:r>
        <w:rPr>
          <w:spacing w:val="-1"/>
          <w:highlight w:val="none"/>
        </w:rPr>
        <w:t>3.参加由各级团学组织、公益组织和志愿者协会组织的大学生寒暑期社会实践活动，国家级加7分，省级加6分，市级加5分，校级加4分（包括外省、外校的寒暑期</w:t>
      </w:r>
      <w:r>
        <w:rPr>
          <w:spacing w:val="-2"/>
          <w:highlight w:val="none"/>
        </w:rPr>
        <w:t>社会实践活动</w:t>
      </w:r>
      <w:r>
        <w:rPr>
          <w:spacing w:val="-1"/>
          <w:highlight w:val="none"/>
        </w:rPr>
        <w:t>），</w:t>
      </w:r>
      <w:r>
        <w:rPr>
          <w:spacing w:val="-2"/>
          <w:highlight w:val="none"/>
        </w:rPr>
        <w:t>院级加3分。凡获得院级三下乡先进团体的，该队每人再加1</w:t>
      </w:r>
      <w:r>
        <w:rPr>
          <w:spacing w:val="-3"/>
          <w:highlight w:val="none"/>
        </w:rPr>
        <w:t>分，获</w:t>
      </w:r>
      <w:r>
        <w:rPr>
          <w:spacing w:val="-1"/>
          <w:highlight w:val="none"/>
        </w:rPr>
        <w:t>得校级先进团体的该队每人再加2分。被评为先进个人者按院、校、省、国家级分别另</w:t>
      </w:r>
      <w:r>
        <w:rPr>
          <w:spacing w:val="-4"/>
          <w:highlight w:val="none"/>
        </w:rPr>
        <w:t>加1、2、4、6分；其他同学根据其表现加1—2分（加</w:t>
      </w:r>
      <w:r>
        <w:rPr>
          <w:spacing w:val="-5"/>
          <w:highlight w:val="none"/>
        </w:rPr>
        <w:t>分标准经团委同意并提供证明</w:t>
      </w:r>
      <w:r>
        <w:rPr>
          <w:spacing w:val="-23"/>
          <w:highlight w:val="none"/>
        </w:rPr>
        <w:t>）；</w:t>
      </w:r>
      <w:r>
        <w:rPr>
          <w:spacing w:val="-3"/>
          <w:highlight w:val="none"/>
        </w:rPr>
        <w:t>同一项目不重复加分，每人最多计算两个活动得分；</w:t>
      </w:r>
    </w:p>
    <w:p w14:paraId="30A8CE1A">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32" w:firstLineChars="200"/>
        <w:textAlignment w:val="baseline"/>
        <w:rPr>
          <w:highlight w:val="none"/>
        </w:rPr>
      </w:pPr>
      <w:r>
        <w:rPr>
          <w:spacing w:val="-2"/>
          <w:highlight w:val="none"/>
        </w:rPr>
        <w:t>4.担任春运志愿者，并获得服务证书的，每人加2分，获评为积极分子的另加1分。参加其它社会实践活动（如校青协、院青协或其他志愿服务团队无偿志愿服务</w:t>
      </w:r>
      <w:r>
        <w:rPr>
          <w:spacing w:val="2"/>
          <w:highlight w:val="none"/>
        </w:rPr>
        <w:t>），</w:t>
      </w:r>
    </w:p>
    <w:p w14:paraId="0CE6B542">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
        <w:textAlignment w:val="baseline"/>
        <w:rPr>
          <w:highlight w:val="none"/>
        </w:rPr>
      </w:pPr>
      <w:r>
        <w:rPr>
          <w:spacing w:val="-2"/>
          <w:highlight w:val="none"/>
        </w:rPr>
        <w:t>志愿时</w:t>
      </w:r>
      <w:r>
        <w:rPr>
          <w:rFonts w:hint="eastAsia"/>
          <w:spacing w:val="-2"/>
          <w:highlight w:val="none"/>
          <w:lang w:val="en-US" w:eastAsia="zh-CN"/>
        </w:rPr>
        <w:t>每0.5小时加0.1分，低于0.5小时的部分不算分，</w:t>
      </w:r>
      <w:r>
        <w:rPr>
          <w:spacing w:val="-2"/>
          <w:highlight w:val="none"/>
        </w:rPr>
        <w:t>如果志愿时证明只提供天数没有时数，按每天8小时计算，该</w:t>
      </w:r>
      <w:r>
        <w:rPr>
          <w:spacing w:val="-3"/>
          <w:highlight w:val="none"/>
        </w:rPr>
        <w:t>项总加分不超过20分；本项得分以有单位盖章的社会实践登记表或志愿工作服务时证书为准；如在社会实践中获得优秀的，每人另加1分。</w:t>
      </w:r>
    </w:p>
    <w:p w14:paraId="3055CAA5">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ind w:left="0" w:leftChars="0" w:right="0" w:firstLine="640" w:firstLineChars="200"/>
        <w:textAlignment w:val="baseline"/>
        <w:rPr>
          <w:highlight w:val="none"/>
        </w:rPr>
      </w:pPr>
      <w:r>
        <w:rPr>
          <w:rFonts w:hint="eastAsia" w:ascii="宋体" w:hAnsi="宋体" w:eastAsia="楷体" w:cs="宋体"/>
          <w:snapToGrid/>
          <w:kern w:val="44"/>
          <w:sz w:val="32"/>
          <w:szCs w:val="24"/>
          <w:highlight w:val="none"/>
          <w:lang w:val="en-US" w:eastAsia="zh-CN" w:bidi="ar-SA"/>
        </w:rPr>
        <w:t>（二）</w:t>
      </w:r>
      <w:r>
        <w:rPr>
          <w:highlight w:val="none"/>
        </w:rPr>
        <w:t>群团加分</w:t>
      </w:r>
    </w:p>
    <w:p w14:paraId="1E3183B9">
      <w:pPr>
        <w:pStyle w:val="4"/>
        <w:keepNext w:val="0"/>
        <w:keepLines w:val="0"/>
        <w:pageBreakBefore w:val="0"/>
        <w:widowControl/>
        <w:kinsoku w:val="0"/>
        <w:wordWrap/>
        <w:overflowPunct/>
        <w:topLinePunct w:val="0"/>
        <w:autoSpaceDE w:val="0"/>
        <w:autoSpaceDN w:val="0"/>
        <w:bidi w:val="0"/>
        <w:adjustRightInd w:val="0"/>
        <w:snapToGrid w:val="0"/>
        <w:ind w:left="0" w:right="0" w:firstLine="640" w:firstLineChars="200"/>
        <w:textAlignment w:val="baseline"/>
        <w:rPr>
          <w:highlight w:val="none"/>
        </w:rPr>
      </w:pPr>
      <w:r>
        <w:rPr>
          <w:highlight w:val="none"/>
        </w:rPr>
        <w:t>1.被授予优秀共青团员的，国家级、省级、市级、校级、院级分别加24、16、12、</w:t>
      </w:r>
      <w:r>
        <w:rPr>
          <w:spacing w:val="-1"/>
          <w:highlight w:val="none"/>
        </w:rPr>
        <w:t>8、4分；被授予优秀共青团员标兵的，按以上相应级别的分值再加4分；被授予校百名优秀共青团员，按以上相应级别的分值再加4分；被授予优秀共产党员的，按以上相应</w:t>
      </w:r>
      <w:r>
        <w:rPr>
          <w:highlight w:val="none"/>
        </w:rPr>
        <w:t>级别的分值再加4分；参加学院组织的党课获得“优秀学员”称号</w:t>
      </w:r>
      <w:r>
        <w:rPr>
          <w:spacing w:val="-1"/>
          <w:highlight w:val="none"/>
        </w:rPr>
        <w:t>的，按院级加4分；</w:t>
      </w:r>
    </w:p>
    <w:p w14:paraId="19E1A4B2">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36" w:firstLineChars="200"/>
        <w:jc w:val="both"/>
        <w:textAlignment w:val="baseline"/>
        <w:rPr>
          <w:highlight w:val="none"/>
        </w:rPr>
      </w:pPr>
      <w:r>
        <w:rPr>
          <w:spacing w:val="-1"/>
          <w:highlight w:val="none"/>
        </w:rPr>
        <w:t>2.获得校级先进班集体标兵、五四红旗团支部的班级成员每人加4分，先进班集体、先进团支部班级成员每人加2分，院级按以上标准的50%</w:t>
      </w:r>
      <w:r>
        <w:rPr>
          <w:spacing w:val="-2"/>
          <w:highlight w:val="none"/>
        </w:rPr>
        <w:t>计；班级团日活动获得校</w:t>
      </w:r>
      <w:r>
        <w:rPr>
          <w:highlight w:val="none"/>
        </w:rPr>
        <w:t>级十佳团日活动、优秀团日活动（团日活动立</w:t>
      </w:r>
      <w:r>
        <w:rPr>
          <w:spacing w:val="-1"/>
          <w:highlight w:val="none"/>
        </w:rPr>
        <w:t>项）等称号，则参与该项活动的班级成员每人加2分，院级获奖团日活动按以上标准的50%计；班级获</w:t>
      </w:r>
      <w:r>
        <w:rPr>
          <w:spacing w:val="-2"/>
          <w:highlight w:val="none"/>
        </w:rPr>
        <w:t>得学风建设十佳方案比赛</w:t>
      </w:r>
      <w:r>
        <w:rPr>
          <w:spacing w:val="-4"/>
          <w:highlight w:val="none"/>
        </w:rPr>
        <w:t>校级一等奖加2分，二等奖加1.5分，三</w:t>
      </w:r>
      <w:r>
        <w:rPr>
          <w:spacing w:val="-5"/>
          <w:highlight w:val="none"/>
        </w:rPr>
        <w:t>等奖加1分，院级按50%计入。</w:t>
      </w:r>
    </w:p>
    <w:p w14:paraId="6A2BC1D0">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20" w:firstLineChars="200"/>
        <w:textAlignment w:val="baseline"/>
        <w:rPr>
          <w:highlight w:val="none"/>
        </w:rPr>
      </w:pPr>
      <w:r>
        <w:rPr>
          <w:spacing w:val="-5"/>
          <w:highlight w:val="none"/>
        </w:rPr>
        <w:t>3.学校、学院团代会和学代会代表分别加4、2分；学校卓越班、未来教育家</w:t>
      </w:r>
      <w:r>
        <w:rPr>
          <w:spacing w:val="-6"/>
          <w:highlight w:val="none"/>
        </w:rPr>
        <w:t>学员、</w:t>
      </w:r>
      <w:r>
        <w:rPr>
          <w:spacing w:val="-3"/>
          <w:highlight w:val="none"/>
        </w:rPr>
        <w:t>青马班学员加4分，院青马班学员加2分（按评定年份的情况为准）。</w:t>
      </w:r>
    </w:p>
    <w:p w14:paraId="647ECD47">
      <w:pPr>
        <w:pStyle w:val="4"/>
        <w:keepNext w:val="0"/>
        <w:keepLines w:val="0"/>
        <w:pageBreakBefore w:val="0"/>
        <w:widowControl/>
        <w:kinsoku w:val="0"/>
        <w:wordWrap/>
        <w:overflowPunct/>
        <w:topLinePunct w:val="0"/>
        <w:autoSpaceDE w:val="0"/>
        <w:autoSpaceDN w:val="0"/>
        <w:bidi w:val="0"/>
        <w:adjustRightInd w:val="0"/>
        <w:snapToGrid w:val="0"/>
        <w:spacing w:line="360" w:lineRule="auto"/>
        <w:ind w:right="0" w:firstLine="632" w:firstLineChars="200"/>
        <w:textAlignment w:val="baseline"/>
        <w:rPr>
          <w:spacing w:val="-1"/>
          <w:highlight w:val="none"/>
        </w:rPr>
      </w:pPr>
      <w:r>
        <w:rPr>
          <w:spacing w:val="-2"/>
          <w:highlight w:val="none"/>
        </w:rPr>
        <w:t>4.担任从事公益性、服务性工作满一年且能履行职责者，按本细则附件：</w:t>
      </w:r>
      <w:r>
        <w:rPr>
          <w:highlight w:val="none"/>
        </w:rPr>
        <w:t>《职务加分分值一览表》标准加分。若任职</w:t>
      </w:r>
      <w:r>
        <w:rPr>
          <w:spacing w:val="-1"/>
          <w:highlight w:val="none"/>
        </w:rPr>
        <w:t>半年以上未满一学年者，按其职务等级分数的50%计算。任期未满半年主动辞职或任期内被免职者不加分；学生会民主评议通过合</w:t>
      </w:r>
      <w:r>
        <w:rPr>
          <w:spacing w:val="-5"/>
          <w:highlight w:val="none"/>
        </w:rPr>
        <w:t>格者，按照校学生会主席团成员、院学生会主席团成员、校学生会负责人、院学生会负</w:t>
      </w:r>
      <w:r>
        <w:rPr>
          <w:highlight w:val="none"/>
        </w:rPr>
        <w:t>责人、校学生会工作人员、院学生会工作人员</w:t>
      </w:r>
      <w:r>
        <w:rPr>
          <w:spacing w:val="-1"/>
          <w:highlight w:val="none"/>
        </w:rPr>
        <w:t>分别加20、18、15、13、10、8，学生会</w:t>
      </w:r>
      <w:r>
        <w:rPr>
          <w:spacing w:val="-2"/>
          <w:highlight w:val="none"/>
        </w:rPr>
        <w:t>系统内主席团和负责人述职评议等级为“优秀”按</w:t>
      </w:r>
      <w:r>
        <w:rPr>
          <w:rFonts w:ascii="Times New Roman" w:hAnsi="Times New Roman" w:eastAsia="Times New Roman" w:cs="Times New Roman"/>
          <w:spacing w:val="-2"/>
          <w:highlight w:val="none"/>
        </w:rPr>
        <w:t>100%</w:t>
      </w:r>
      <w:r>
        <w:rPr>
          <w:spacing w:val="-2"/>
          <w:highlight w:val="none"/>
        </w:rPr>
        <w:t>加分，“</w:t>
      </w:r>
      <w:r>
        <w:rPr>
          <w:spacing w:val="-3"/>
          <w:highlight w:val="none"/>
        </w:rPr>
        <w:t>良好”按</w:t>
      </w:r>
      <w:r>
        <w:rPr>
          <w:rFonts w:ascii="Times New Roman" w:hAnsi="Times New Roman" w:eastAsia="Times New Roman" w:cs="Times New Roman"/>
          <w:spacing w:val="-3"/>
          <w:highlight w:val="none"/>
        </w:rPr>
        <w:t>80%</w:t>
      </w:r>
      <w:r>
        <w:rPr>
          <w:spacing w:val="-3"/>
          <w:highlight w:val="none"/>
        </w:rPr>
        <w:t>加分，</w:t>
      </w:r>
      <w:r>
        <w:rPr>
          <w:spacing w:val="-1"/>
          <w:highlight w:val="none"/>
        </w:rPr>
        <w:t>“合格”按</w:t>
      </w:r>
      <w:r>
        <w:rPr>
          <w:rFonts w:ascii="Times New Roman" w:hAnsi="Times New Roman" w:eastAsia="Times New Roman" w:cs="Times New Roman"/>
          <w:spacing w:val="-1"/>
          <w:highlight w:val="none"/>
        </w:rPr>
        <w:t>60%</w:t>
      </w:r>
      <w:r>
        <w:rPr>
          <w:spacing w:val="-1"/>
          <w:highlight w:val="none"/>
        </w:rPr>
        <w:t>加分，“不合格”不加分；</w:t>
      </w:r>
    </w:p>
    <w:p w14:paraId="1CDBFF12">
      <w:pPr>
        <w:pStyle w:val="4"/>
        <w:keepNext w:val="0"/>
        <w:keepLines w:val="0"/>
        <w:pageBreakBefore w:val="0"/>
        <w:widowControl/>
        <w:kinsoku w:val="0"/>
        <w:wordWrap/>
        <w:overflowPunct/>
        <w:topLinePunct w:val="0"/>
        <w:autoSpaceDE w:val="0"/>
        <w:autoSpaceDN w:val="0"/>
        <w:bidi w:val="0"/>
        <w:adjustRightInd w:val="0"/>
        <w:snapToGrid w:val="0"/>
        <w:spacing w:line="360" w:lineRule="auto"/>
        <w:ind w:right="0" w:firstLine="620" w:firstLineChars="200"/>
        <w:textAlignment w:val="baseline"/>
        <w:rPr>
          <w:highlight w:val="none"/>
        </w:rPr>
      </w:pPr>
      <w:r>
        <w:rPr>
          <w:spacing w:val="-5"/>
          <w:highlight w:val="none"/>
        </w:rPr>
        <w:t>5.学生助理职务加分按照是否有正式聘书</w:t>
      </w:r>
      <w:r>
        <w:rPr>
          <w:rFonts w:hint="eastAsia"/>
          <w:spacing w:val="-5"/>
          <w:highlight w:val="none"/>
          <w:lang w:eastAsia="zh-CN"/>
        </w:rPr>
        <w:t>，</w:t>
      </w:r>
      <w:r>
        <w:rPr>
          <w:rFonts w:hint="eastAsia"/>
          <w:spacing w:val="-5"/>
          <w:highlight w:val="none"/>
          <w:lang w:val="en-US" w:eastAsia="zh-CN"/>
        </w:rPr>
        <w:t>有补贴的学生助理加2分</w:t>
      </w:r>
      <w:r>
        <w:rPr>
          <w:spacing w:val="-5"/>
          <w:highlight w:val="none"/>
        </w:rPr>
        <w:t>；</w:t>
      </w:r>
    </w:p>
    <w:p w14:paraId="3B57D7D3">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36" w:firstLineChars="200"/>
        <w:jc w:val="both"/>
        <w:textAlignment w:val="baseline"/>
        <w:rPr>
          <w:highlight w:val="none"/>
        </w:rPr>
      </w:pPr>
      <w:r>
        <w:rPr>
          <w:spacing w:val="-1"/>
          <w:highlight w:val="none"/>
        </w:rPr>
        <w:t>6.在各学生组织的内部比赛(内部评比、公文写作比赛、通讯稿写作比赛、干事考</w:t>
      </w:r>
      <w:r>
        <w:rPr>
          <w:spacing w:val="-2"/>
          <w:highlight w:val="none"/>
        </w:rPr>
        <w:t>核等)中获得奖项的，在同一竞赛项目同一系列竞赛获得多级别奖励，只按最高奖计分，</w:t>
      </w:r>
      <w:r>
        <w:rPr>
          <w:spacing w:val="-4"/>
          <w:highlight w:val="none"/>
        </w:rPr>
        <w:t>不重复计分。一等奖加1.5分，二等奖加1分，三等奖加0.</w:t>
      </w:r>
      <w:r>
        <w:rPr>
          <w:spacing w:val="-5"/>
          <w:highlight w:val="none"/>
        </w:rPr>
        <w:t>5分。</w:t>
      </w:r>
    </w:p>
    <w:p w14:paraId="172C79FD">
      <w:pPr>
        <w:pStyle w:val="4"/>
        <w:keepNext w:val="0"/>
        <w:keepLines w:val="0"/>
        <w:pageBreakBefore w:val="0"/>
        <w:widowControl/>
        <w:kinsoku w:val="0"/>
        <w:wordWrap/>
        <w:overflowPunct/>
        <w:topLinePunct w:val="0"/>
        <w:autoSpaceDE w:val="0"/>
        <w:autoSpaceDN w:val="0"/>
        <w:bidi w:val="0"/>
        <w:adjustRightInd w:val="0"/>
        <w:snapToGrid w:val="0"/>
        <w:spacing w:line="360" w:lineRule="auto"/>
        <w:ind w:right="0" w:firstLine="636" w:firstLineChars="200"/>
        <w:jc w:val="both"/>
        <w:textAlignment w:val="baseline"/>
        <w:rPr>
          <w:spacing w:val="-3"/>
          <w:highlight w:val="none"/>
        </w:rPr>
      </w:pPr>
      <w:r>
        <w:rPr>
          <w:spacing w:val="-1"/>
          <w:highlight w:val="none"/>
        </w:rPr>
        <w:t>7.除班级以外的群团荣誉加分（如各级学生会、团委、青协、</w:t>
      </w:r>
      <w:r>
        <w:rPr>
          <w:spacing w:val="-2"/>
          <w:highlight w:val="none"/>
        </w:rPr>
        <w:t>社团等</w:t>
      </w:r>
      <w:r>
        <w:rPr>
          <w:highlight w:val="none"/>
        </w:rPr>
        <w:t>），</w:t>
      </w:r>
      <w:r>
        <w:rPr>
          <w:spacing w:val="-2"/>
          <w:highlight w:val="none"/>
        </w:rPr>
        <w:t>国家级</w:t>
      </w:r>
      <w:r>
        <w:rPr>
          <w:spacing w:val="-4"/>
          <w:highlight w:val="none"/>
        </w:rPr>
        <w:t>加4分，省级加3分，市级加2分，校级加1分。群团最高层级负责人按3倍计分，第</w:t>
      </w:r>
      <w:r>
        <w:rPr>
          <w:spacing w:val="-2"/>
          <w:highlight w:val="none"/>
        </w:rPr>
        <w:t>二层级负责人按2倍计分，第三层级及以下层级工作人员按1倍计分。（若级别分为两</w:t>
      </w:r>
      <w:r>
        <w:rPr>
          <w:spacing w:val="-3"/>
          <w:highlight w:val="none"/>
        </w:rPr>
        <w:t>层，按照最高层级负责人按2倍计分，第二层级负责人按1倍计分）</w:t>
      </w:r>
    </w:p>
    <w:p w14:paraId="78BC367B">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40" w:firstLineChars="200"/>
        <w:jc w:val="both"/>
        <w:textAlignment w:val="baseline"/>
        <w:rPr>
          <w:highlight w:val="none"/>
        </w:rPr>
      </w:pPr>
      <w:r>
        <w:rPr>
          <w:highlight w:val="none"/>
        </w:rPr>
        <w:t>以上获奖奖项，属同一系列或同一项</w:t>
      </w:r>
      <w:r>
        <w:rPr>
          <w:spacing w:val="-1"/>
          <w:highlight w:val="none"/>
        </w:rPr>
        <w:t>目的，取其最高得分奖项加分，不重复</w:t>
      </w:r>
      <w:r>
        <w:rPr>
          <w:spacing w:val="-2"/>
          <w:highlight w:val="none"/>
        </w:rPr>
        <w:t>加分。兼职性质（有偿）的社会实践活动不予以加分。</w:t>
      </w:r>
    </w:p>
    <w:p w14:paraId="55DD7EED">
      <w:pPr>
        <w:pStyle w:val="3"/>
        <w:bidi w:val="0"/>
        <w:ind w:firstLine="640" w:firstLineChars="200"/>
        <w:rPr>
          <w:highlight w:val="none"/>
        </w:rPr>
      </w:pPr>
      <w:r>
        <w:rPr>
          <w:highlight w:val="none"/>
        </w:rPr>
        <w:t>（四）扣分标准</w:t>
      </w:r>
    </w:p>
    <w:p w14:paraId="5631EE32">
      <w:pPr>
        <w:pStyle w:val="4"/>
        <w:keepNext w:val="0"/>
        <w:keepLines w:val="0"/>
        <w:pageBreakBefore w:val="0"/>
        <w:widowControl/>
        <w:kinsoku w:val="0"/>
        <w:wordWrap/>
        <w:overflowPunct/>
        <w:topLinePunct w:val="0"/>
        <w:autoSpaceDE w:val="0"/>
        <w:autoSpaceDN w:val="0"/>
        <w:bidi w:val="0"/>
        <w:adjustRightInd w:val="0"/>
        <w:snapToGrid w:val="0"/>
        <w:spacing w:line="360" w:lineRule="auto"/>
        <w:ind w:right="0" w:firstLine="648" w:firstLineChars="200"/>
        <w:textAlignment w:val="baseline"/>
        <w:rPr>
          <w:highlight w:val="none"/>
        </w:rPr>
      </w:pPr>
      <w:r>
        <w:rPr>
          <w:spacing w:val="2"/>
          <w:highlight w:val="none"/>
        </w:rPr>
        <w:t>1.工作态度消极、不能按质按量完成学生工作，造成恶劣影响，经所在社</w:t>
      </w:r>
      <w:r>
        <w:rPr>
          <w:spacing w:val="1"/>
          <w:highlight w:val="none"/>
        </w:rPr>
        <w:t>团及辅</w:t>
      </w:r>
      <w:r>
        <w:rPr>
          <w:spacing w:val="-6"/>
          <w:highlight w:val="none"/>
        </w:rPr>
        <w:t>导员评议，按情节扣1-3分；</w:t>
      </w:r>
    </w:p>
    <w:p w14:paraId="2F04CB04">
      <w:pPr>
        <w:pStyle w:val="4"/>
        <w:keepNext w:val="0"/>
        <w:keepLines w:val="0"/>
        <w:pageBreakBefore w:val="0"/>
        <w:widowControl/>
        <w:kinsoku w:val="0"/>
        <w:wordWrap/>
        <w:overflowPunct/>
        <w:topLinePunct w:val="0"/>
        <w:autoSpaceDE w:val="0"/>
        <w:autoSpaceDN w:val="0"/>
        <w:bidi w:val="0"/>
        <w:adjustRightInd w:val="0"/>
        <w:snapToGrid w:val="0"/>
        <w:spacing w:line="360" w:lineRule="auto"/>
        <w:ind w:right="0" w:firstLine="652" w:firstLineChars="200"/>
        <w:textAlignment w:val="baseline"/>
        <w:rPr>
          <w:highlight w:val="none"/>
        </w:rPr>
      </w:pPr>
      <w:r>
        <w:rPr>
          <w:rFonts w:ascii="Times New Roman" w:hAnsi="Times New Roman" w:eastAsia="Times New Roman" w:cs="Times New Roman"/>
          <w:spacing w:val="3"/>
          <w:highlight w:val="none"/>
        </w:rPr>
        <w:t>2.</w:t>
      </w:r>
      <w:r>
        <w:rPr>
          <w:spacing w:val="3"/>
          <w:highlight w:val="none"/>
        </w:rPr>
        <w:t>工作期间滥用职权、以权谋私，</w:t>
      </w:r>
      <w:r>
        <w:rPr>
          <w:spacing w:val="2"/>
          <w:highlight w:val="none"/>
        </w:rPr>
        <w:t>造成恶劣影响，经所在社团及辅导员评议，按</w:t>
      </w:r>
      <w:r>
        <w:rPr>
          <w:spacing w:val="-7"/>
          <w:highlight w:val="none"/>
        </w:rPr>
        <w:t>情节扣4-7分；</w:t>
      </w:r>
    </w:p>
    <w:p w14:paraId="09E3CC91">
      <w:pPr>
        <w:pStyle w:val="4"/>
        <w:keepNext w:val="0"/>
        <w:keepLines w:val="0"/>
        <w:pageBreakBefore w:val="0"/>
        <w:widowControl/>
        <w:kinsoku w:val="0"/>
        <w:wordWrap/>
        <w:overflowPunct/>
        <w:topLinePunct w:val="0"/>
        <w:autoSpaceDE w:val="0"/>
        <w:autoSpaceDN w:val="0"/>
        <w:bidi w:val="0"/>
        <w:adjustRightInd w:val="0"/>
        <w:snapToGrid w:val="0"/>
        <w:spacing w:line="360" w:lineRule="auto"/>
        <w:ind w:right="0" w:firstLine="648" w:firstLineChars="200"/>
        <w:textAlignment w:val="baseline"/>
        <w:rPr>
          <w:highlight w:val="none"/>
        </w:rPr>
      </w:pPr>
      <w:r>
        <w:rPr>
          <w:rFonts w:ascii="Times New Roman" w:hAnsi="Times New Roman" w:eastAsia="Times New Roman" w:cs="Times New Roman"/>
          <w:spacing w:val="2"/>
          <w:highlight w:val="none"/>
        </w:rPr>
        <w:t>3.</w:t>
      </w:r>
      <w:r>
        <w:rPr>
          <w:spacing w:val="2"/>
          <w:highlight w:val="none"/>
        </w:rPr>
        <w:t>在参与实践活动时，怠慢工作，对集体和社会无贡献，经所在实践团队负责人</w:t>
      </w:r>
      <w:r>
        <w:rPr>
          <w:spacing w:val="-4"/>
          <w:highlight w:val="none"/>
        </w:rPr>
        <w:t>和辅导员评议，按情节扣2-4分；</w:t>
      </w:r>
    </w:p>
    <w:p w14:paraId="746C2A48">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636" w:firstLineChars="200"/>
        <w:textAlignment w:val="baseline"/>
        <w:rPr>
          <w:highlight w:val="none"/>
        </w:rPr>
      </w:pPr>
      <w:r>
        <w:rPr>
          <w:spacing w:val="-1"/>
          <w:highlight w:val="none"/>
        </w:rPr>
        <w:t>4.伪造社会实践活动经历、弄虚作假者，一经</w:t>
      </w:r>
      <w:r>
        <w:rPr>
          <w:spacing w:val="-2"/>
          <w:highlight w:val="none"/>
        </w:rPr>
        <w:t>发现，取消评比资格。</w:t>
      </w:r>
    </w:p>
    <w:p w14:paraId="3A262A06">
      <w:pPr>
        <w:pStyle w:val="2"/>
        <w:pageBreakBefore w:val="0"/>
        <w:wordWrap/>
        <w:overflowPunct/>
        <w:topLinePunct w:val="0"/>
        <w:bidi w:val="0"/>
        <w:spacing w:beforeLines="0" w:afterLines="0"/>
        <w:ind w:left="0" w:leftChars="0" w:right="0" w:firstLine="640" w:firstLineChars="200"/>
        <w:rPr>
          <w:highlight w:val="none"/>
        </w:rPr>
      </w:pPr>
      <w:r>
        <w:rPr>
          <w:highlight w:val="none"/>
        </w:rPr>
        <w:t>第六条</w:t>
      </w:r>
      <w:r>
        <w:rPr>
          <w:rFonts w:hint="eastAsia"/>
          <w:highlight w:val="none"/>
          <w:lang w:val="en-US" w:eastAsia="zh-CN"/>
        </w:rPr>
        <w:t xml:space="preserve"> </w:t>
      </w:r>
      <w:r>
        <w:rPr>
          <w:highlight w:val="none"/>
        </w:rPr>
        <w:t>其他</w:t>
      </w:r>
    </w:p>
    <w:p w14:paraId="6666C56E">
      <w:pPr>
        <w:pStyle w:val="4"/>
        <w:pageBreakBefore w:val="0"/>
        <w:wordWrap/>
        <w:overflowPunct/>
        <w:topLinePunct w:val="0"/>
        <w:bidi w:val="0"/>
        <w:spacing w:line="360" w:lineRule="auto"/>
        <w:ind w:right="0" w:firstLine="632" w:firstLineChars="200"/>
        <w:jc w:val="both"/>
        <w:rPr>
          <w:spacing w:val="-6"/>
          <w:highlight w:val="none"/>
        </w:rPr>
      </w:pPr>
      <w:r>
        <w:rPr>
          <w:spacing w:val="-2"/>
          <w:highlight w:val="none"/>
        </w:rPr>
        <w:t>1.以上各种加分项目如无特殊说明，均指学年综合素质评价年度内，</w:t>
      </w:r>
      <w:r>
        <w:rPr>
          <w:spacing w:val="-2"/>
          <w:highlight w:val="none"/>
          <w:u w:val="single" w:color="auto"/>
        </w:rPr>
        <w:t>有效</w:t>
      </w:r>
      <w:r>
        <w:rPr>
          <w:spacing w:val="-6"/>
          <w:highlight w:val="none"/>
          <w:u w:val="single" w:color="auto"/>
        </w:rPr>
        <w:t>时间自上学年9月1日至本年度8月31日（以</w:t>
      </w:r>
      <w:r>
        <w:rPr>
          <w:spacing w:val="-7"/>
          <w:highlight w:val="none"/>
          <w:u w:val="single" w:color="auto"/>
        </w:rPr>
        <w:t>盖章落款时间为准</w:t>
      </w:r>
      <w:r>
        <w:rPr>
          <w:spacing w:val="-3"/>
          <w:highlight w:val="none"/>
          <w:u w:val="single" w:color="auto"/>
        </w:rPr>
        <w:t>），</w:t>
      </w:r>
      <w:r>
        <w:rPr>
          <w:spacing w:val="-7"/>
          <w:highlight w:val="none"/>
        </w:rPr>
        <w:t>暑期社会</w:t>
      </w:r>
      <w:r>
        <w:rPr>
          <w:spacing w:val="-6"/>
          <w:highlight w:val="none"/>
        </w:rPr>
        <w:t>实践用于下一学年；</w:t>
      </w:r>
    </w:p>
    <w:p w14:paraId="397C7F9A">
      <w:pPr>
        <w:pStyle w:val="4"/>
        <w:pageBreakBefore w:val="0"/>
        <w:wordWrap/>
        <w:overflowPunct/>
        <w:topLinePunct w:val="0"/>
        <w:bidi w:val="0"/>
        <w:spacing w:line="360" w:lineRule="auto"/>
        <w:ind w:right="0" w:firstLine="628" w:firstLineChars="200"/>
        <w:jc w:val="both"/>
        <w:rPr>
          <w:rFonts w:hint="eastAsia" w:eastAsia="仿宋"/>
          <w:spacing w:val="-3"/>
          <w:highlight w:val="none"/>
          <w:lang w:eastAsia="zh-CN"/>
        </w:rPr>
      </w:pPr>
      <w:r>
        <w:rPr>
          <w:spacing w:val="-3"/>
          <w:highlight w:val="none"/>
        </w:rPr>
        <w:t>2.各类计分都需要有证书、奖状或其他有效证明材料</w:t>
      </w:r>
      <w:r>
        <w:rPr>
          <w:rFonts w:hint="eastAsia"/>
          <w:spacing w:val="-3"/>
          <w:highlight w:val="none"/>
          <w:lang w:eastAsia="zh-CN"/>
        </w:rPr>
        <w:t>；</w:t>
      </w:r>
    </w:p>
    <w:p w14:paraId="54383B23">
      <w:pPr>
        <w:pStyle w:val="4"/>
        <w:pageBreakBefore w:val="0"/>
        <w:wordWrap/>
        <w:overflowPunct/>
        <w:topLinePunct w:val="0"/>
        <w:bidi w:val="0"/>
        <w:spacing w:line="360" w:lineRule="auto"/>
        <w:ind w:right="0" w:firstLine="620" w:firstLineChars="200"/>
        <w:jc w:val="both"/>
        <w:rPr>
          <w:spacing w:val="-5"/>
          <w:highlight w:val="none"/>
        </w:rPr>
      </w:pPr>
      <w:r>
        <w:rPr>
          <w:spacing w:val="-5"/>
          <w:highlight w:val="none"/>
        </w:rPr>
        <w:t>3.如同一加分项目出现在不同指标内，只能选择在其中一个指标进行加分；</w:t>
      </w:r>
    </w:p>
    <w:p w14:paraId="70A8ADFC">
      <w:pPr>
        <w:pStyle w:val="4"/>
        <w:pageBreakBefore w:val="0"/>
        <w:wordWrap/>
        <w:overflowPunct/>
        <w:topLinePunct w:val="0"/>
        <w:bidi w:val="0"/>
        <w:spacing w:line="360" w:lineRule="auto"/>
        <w:ind w:right="0" w:firstLine="632" w:firstLineChars="200"/>
        <w:jc w:val="both"/>
        <w:rPr>
          <w:spacing w:val="-3"/>
          <w:highlight w:val="none"/>
        </w:rPr>
      </w:pPr>
      <w:r>
        <w:rPr>
          <w:spacing w:val="-2"/>
          <w:highlight w:val="none"/>
        </w:rPr>
        <w:t>4.在获奖等次方面，如没有明确规定，特等奖按照一等奖分值的120%计</w:t>
      </w:r>
      <w:r>
        <w:rPr>
          <w:rFonts w:hint="eastAsia"/>
          <w:spacing w:val="-2"/>
          <w:highlight w:val="none"/>
          <w:lang w:eastAsia="zh-CN"/>
        </w:rPr>
        <w:t>，</w:t>
      </w:r>
      <w:r>
        <w:rPr>
          <w:spacing w:val="-3"/>
          <w:highlight w:val="none"/>
        </w:rPr>
        <w:t>优秀奖（优胜奖）按照三等奖分值的50%计；</w:t>
      </w:r>
    </w:p>
    <w:p w14:paraId="7C59AD0F">
      <w:pPr>
        <w:pStyle w:val="4"/>
        <w:pageBreakBefore w:val="0"/>
        <w:wordWrap/>
        <w:overflowPunct/>
        <w:topLinePunct w:val="0"/>
        <w:bidi w:val="0"/>
        <w:spacing w:line="360" w:lineRule="auto"/>
        <w:ind w:right="0" w:firstLine="636" w:firstLineChars="200"/>
        <w:rPr>
          <w:highlight w:val="none"/>
        </w:rPr>
      </w:pPr>
      <w:r>
        <w:rPr>
          <w:spacing w:val="-1"/>
          <w:highlight w:val="none"/>
        </w:rPr>
        <w:t>5.个别界定模糊的加分项目以及由某行</w:t>
      </w:r>
      <w:r>
        <w:rPr>
          <w:spacing w:val="-2"/>
          <w:highlight w:val="none"/>
        </w:rPr>
        <w:t>业协会或国际公司举办的知名度、</w:t>
      </w:r>
      <w:r>
        <w:rPr>
          <w:spacing w:val="-3"/>
          <w:highlight w:val="none"/>
        </w:rPr>
        <w:t>参与度较高的活动，由学院学年综合素质评价领导小组讨论决定是否加分及参考</w:t>
      </w:r>
      <w:r>
        <w:rPr>
          <w:spacing w:val="-10"/>
          <w:highlight w:val="none"/>
        </w:rPr>
        <w:t>条款和分值；</w:t>
      </w:r>
    </w:p>
    <w:p w14:paraId="756B5B9D">
      <w:pPr>
        <w:pStyle w:val="4"/>
        <w:pageBreakBefore w:val="0"/>
        <w:wordWrap/>
        <w:overflowPunct/>
        <w:topLinePunct w:val="0"/>
        <w:bidi w:val="0"/>
        <w:spacing w:line="360" w:lineRule="auto"/>
        <w:ind w:right="0" w:firstLine="640" w:firstLineChars="200"/>
        <w:rPr>
          <w:highlight w:val="none"/>
        </w:rPr>
      </w:pPr>
      <w:r>
        <w:rPr>
          <w:highlight w:val="none"/>
        </w:rPr>
        <w:t>6.私立公司或组织（北辰、创行）举办的比</w:t>
      </w:r>
      <w:r>
        <w:rPr>
          <w:spacing w:val="-1"/>
          <w:highlight w:val="none"/>
        </w:rPr>
        <w:t>赛活动加分标准按照官方盖章</w:t>
      </w:r>
      <w:r>
        <w:rPr>
          <w:spacing w:val="-11"/>
          <w:highlight w:val="none"/>
        </w:rPr>
        <w:t>单位确定；</w:t>
      </w:r>
    </w:p>
    <w:p w14:paraId="5D8C8938">
      <w:pPr>
        <w:pStyle w:val="4"/>
        <w:keepNext/>
        <w:keepLines w:val="0"/>
        <w:pageBreakBefore w:val="0"/>
        <w:widowControl/>
        <w:kinsoku w:val="0"/>
        <w:wordWrap/>
        <w:overflowPunct/>
        <w:topLinePunct w:val="0"/>
        <w:autoSpaceDE w:val="0"/>
        <w:autoSpaceDN w:val="0"/>
        <w:bidi w:val="0"/>
        <w:adjustRightInd w:val="0"/>
        <w:snapToGrid w:val="0"/>
        <w:spacing w:line="360" w:lineRule="auto"/>
        <w:ind w:right="0" w:firstLine="640" w:firstLineChars="200"/>
        <w:jc w:val="both"/>
        <w:textAlignment w:val="baseline"/>
        <w:rPr>
          <w:highlight w:val="none"/>
        </w:rPr>
      </w:pPr>
      <w:r>
        <w:rPr>
          <w:highlight w:val="none"/>
        </w:rPr>
        <w:t>7.报经学院学年综合素质评价工作领导小组同意后，各年级综合素质评价</w:t>
      </w:r>
      <w:r>
        <w:rPr>
          <w:spacing w:val="4"/>
          <w:highlight w:val="none"/>
        </w:rPr>
        <w:t>小组可根据本细则对本年级的评定过程中出现的没有规定的内容进行细化与定</w:t>
      </w:r>
      <w:r>
        <w:rPr>
          <w:spacing w:val="-13"/>
          <w:highlight w:val="none"/>
        </w:rPr>
        <w:t>性定量；</w:t>
      </w:r>
    </w:p>
    <w:p w14:paraId="79ED907A">
      <w:pPr>
        <w:pStyle w:val="4"/>
        <w:keepNext/>
        <w:keepLines w:val="0"/>
        <w:pageBreakBefore w:val="0"/>
        <w:widowControl/>
        <w:kinsoku w:val="0"/>
        <w:wordWrap/>
        <w:overflowPunct/>
        <w:topLinePunct w:val="0"/>
        <w:autoSpaceDE w:val="0"/>
        <w:autoSpaceDN w:val="0"/>
        <w:bidi w:val="0"/>
        <w:adjustRightInd w:val="0"/>
        <w:snapToGrid w:val="0"/>
        <w:spacing w:line="360" w:lineRule="auto"/>
        <w:ind w:right="0" w:firstLine="628" w:firstLineChars="200"/>
        <w:textAlignment w:val="baseline"/>
        <w:rPr>
          <w:spacing w:val="-3"/>
          <w:highlight w:val="none"/>
        </w:rPr>
      </w:pPr>
      <w:r>
        <w:rPr>
          <w:spacing w:val="-3"/>
          <w:highlight w:val="none"/>
        </w:rPr>
        <w:t>8.凡涉及级别问题,某级以上均包含该级别；</w:t>
      </w:r>
    </w:p>
    <w:p w14:paraId="55FFF490">
      <w:pPr>
        <w:pStyle w:val="4"/>
        <w:keepNext/>
        <w:keepLines w:val="0"/>
        <w:pageBreakBefore w:val="0"/>
        <w:widowControl/>
        <w:kinsoku w:val="0"/>
        <w:wordWrap/>
        <w:overflowPunct/>
        <w:topLinePunct w:val="0"/>
        <w:autoSpaceDE w:val="0"/>
        <w:autoSpaceDN w:val="0"/>
        <w:bidi w:val="0"/>
        <w:adjustRightInd w:val="0"/>
        <w:snapToGrid w:val="0"/>
        <w:spacing w:line="360" w:lineRule="auto"/>
        <w:ind w:right="0" w:firstLine="632" w:firstLineChars="200"/>
        <w:textAlignment w:val="baseline"/>
        <w:rPr>
          <w:spacing w:val="-3"/>
          <w:highlight w:val="none"/>
        </w:rPr>
      </w:pPr>
      <w:r>
        <w:rPr>
          <w:spacing w:val="-2"/>
          <w:highlight w:val="none"/>
        </w:rPr>
        <w:t>9.教育科学学院保留本细则的最终解释</w:t>
      </w:r>
      <w:r>
        <w:rPr>
          <w:spacing w:val="-3"/>
          <w:highlight w:val="none"/>
        </w:rPr>
        <w:t>权。</w:t>
      </w:r>
    </w:p>
    <w:p w14:paraId="6D2651BE">
      <w:pPr>
        <w:pStyle w:val="4"/>
        <w:keepNext/>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jc w:val="right"/>
        <w:textAlignment w:val="baseline"/>
        <w:rPr>
          <w:highlight w:val="none"/>
        </w:rPr>
      </w:pPr>
    </w:p>
    <w:p w14:paraId="541FE9B0">
      <w:pPr>
        <w:pStyle w:val="4"/>
        <w:keepNext/>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jc w:val="right"/>
        <w:textAlignment w:val="baseline"/>
        <w:rPr>
          <w:highlight w:val="none"/>
        </w:rPr>
      </w:pPr>
      <w:r>
        <w:rPr>
          <w:highlight w:val="none"/>
        </w:rPr>
        <w:t>华南师范大学教育科学学院</w:t>
      </w:r>
    </w:p>
    <w:p w14:paraId="0E725889">
      <w:pPr>
        <w:pStyle w:val="4"/>
        <w:keepNext/>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jc w:val="right"/>
        <w:textAlignment w:val="baseline"/>
        <w:rPr>
          <w:highlight w:val="none"/>
        </w:rPr>
      </w:pPr>
      <w:r>
        <w:rPr>
          <w:rFonts w:hint="eastAsia"/>
          <w:highlight w:val="none"/>
          <w:lang w:val="en-US" w:eastAsia="zh-CN"/>
        </w:rPr>
        <w:t>2025</w:t>
      </w:r>
      <w:r>
        <w:rPr>
          <w:highlight w:val="none"/>
        </w:rPr>
        <w:t>年</w:t>
      </w:r>
      <w:r>
        <w:rPr>
          <w:rFonts w:hint="eastAsia"/>
          <w:highlight w:val="none"/>
          <w:lang w:val="en-US" w:eastAsia="zh-CN"/>
        </w:rPr>
        <w:t>12</w:t>
      </w:r>
      <w:r>
        <w:rPr>
          <w:highlight w:val="none"/>
        </w:rPr>
        <w:t>月</w:t>
      </w:r>
      <w:r>
        <w:rPr>
          <w:rFonts w:hint="eastAsia"/>
          <w:highlight w:val="none"/>
          <w:lang w:val="en-US" w:eastAsia="zh-CN"/>
        </w:rPr>
        <w:t>9</w:t>
      </w:r>
      <w:r>
        <w:rPr>
          <w:highlight w:val="none"/>
        </w:rPr>
        <w:t>日</w:t>
      </w:r>
    </w:p>
    <w:p w14:paraId="69573499">
      <w:pPr>
        <w:spacing w:line="360" w:lineRule="auto"/>
        <w:rPr>
          <w:highlight w:val="none"/>
        </w:rPr>
        <w:sectPr>
          <w:footerReference r:id="rId6" w:type="default"/>
          <w:pgSz w:w="11907" w:h="16839"/>
          <w:pgMar w:top="1431" w:right="1002" w:bottom="954" w:left="1785" w:header="0" w:footer="793" w:gutter="0"/>
          <w:pgNumType w:fmt="decimal"/>
          <w:cols w:space="720" w:num="1"/>
        </w:sectPr>
      </w:pPr>
    </w:p>
    <w:p w14:paraId="319C2B58">
      <w:pPr>
        <w:widowControl/>
        <w:tabs>
          <w:tab w:val="left" w:pos="0"/>
          <w:tab w:val="left" w:pos="1418"/>
        </w:tabs>
        <w:kinsoku w:val="0"/>
        <w:autoSpaceDE w:val="0"/>
        <w:autoSpaceDN w:val="0"/>
        <w:adjustRightInd w:val="0"/>
        <w:snapToGrid w:val="0"/>
        <w:spacing w:line="360" w:lineRule="auto"/>
        <w:ind w:left="0" w:leftChars="0" w:firstLine="0" w:firstLineChars="0"/>
        <w:jc w:val="both"/>
        <w:textAlignment w:val="baseline"/>
        <w:rPr>
          <w:rFonts w:hint="eastAsia" w:ascii="方正小标宋简体" w:hAnsi="方正小标宋简体" w:eastAsia="方正小标宋简体" w:cs="方正小标宋简体"/>
          <w:b w:val="0"/>
          <w:bCs w:val="0"/>
          <w:snapToGrid/>
          <w:color w:val="auto"/>
          <w:spacing w:val="0"/>
          <w:kern w:val="0"/>
          <w:sz w:val="40"/>
          <w:szCs w:val="40"/>
          <w:highlight w:val="none"/>
          <w:lang w:val="en-US" w:eastAsia="zh-CN" w:bidi="ar-SA"/>
        </w:rPr>
      </w:pPr>
      <w:r>
        <w:rPr>
          <w:rFonts w:hint="eastAsia" w:ascii="方正小标宋简体" w:hAnsi="方正小标宋简体" w:eastAsia="方正小标宋简体" w:cs="方正小标宋简体"/>
          <w:b w:val="0"/>
          <w:bCs w:val="0"/>
          <w:snapToGrid/>
          <w:color w:val="auto"/>
          <w:spacing w:val="0"/>
          <w:kern w:val="0"/>
          <w:sz w:val="40"/>
          <w:szCs w:val="40"/>
          <w:highlight w:val="none"/>
          <w:lang w:val="en-US" w:eastAsia="zh-CN" w:bidi="ar-SA"/>
        </w:rPr>
        <w:t>附件二：</w:t>
      </w:r>
    </w:p>
    <w:p w14:paraId="25BFA3EA">
      <w:pPr>
        <w:widowControl/>
        <w:tabs>
          <w:tab w:val="left" w:pos="0"/>
          <w:tab w:val="left" w:pos="1418"/>
        </w:tabs>
        <w:kinsoku w:val="0"/>
        <w:autoSpaceDE w:val="0"/>
        <w:autoSpaceDN w:val="0"/>
        <w:adjustRightInd w:val="0"/>
        <w:snapToGrid w:val="0"/>
        <w:spacing w:line="360" w:lineRule="auto"/>
        <w:ind w:left="0" w:leftChars="0" w:firstLine="0" w:firstLineChars="0"/>
        <w:jc w:val="center"/>
        <w:textAlignment w:val="baseline"/>
        <w:rPr>
          <w:sz w:val="28"/>
          <w:szCs w:val="20"/>
          <w:highlight w:val="none"/>
        </w:rPr>
      </w:pPr>
      <w:r>
        <w:rPr>
          <w:rFonts w:hint="eastAsia" w:ascii="方正小标宋简体" w:hAnsi="方正小标宋简体" w:eastAsia="方正小标宋简体" w:cs="方正小标宋简体"/>
          <w:b w:val="0"/>
          <w:bCs w:val="0"/>
          <w:snapToGrid/>
          <w:color w:val="auto"/>
          <w:spacing w:val="0"/>
          <w:kern w:val="0"/>
          <w:sz w:val="40"/>
          <w:szCs w:val="40"/>
          <w:highlight w:val="none"/>
          <w:lang w:val="en-US" w:eastAsia="zh-CN" w:bidi="ar-SA"/>
        </w:rPr>
        <w:t>职务加分分值一览表</w:t>
      </w:r>
    </w:p>
    <w:tbl>
      <w:tblPr>
        <w:tblStyle w:val="11"/>
        <w:tblW w:w="873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1"/>
        <w:gridCol w:w="847"/>
        <w:gridCol w:w="900"/>
        <w:gridCol w:w="832"/>
        <w:gridCol w:w="1087"/>
        <w:gridCol w:w="962"/>
        <w:gridCol w:w="1170"/>
        <w:gridCol w:w="1349"/>
        <w:gridCol w:w="859"/>
      </w:tblGrid>
      <w:tr w14:paraId="56428D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8737" w:type="dxa"/>
            <w:gridSpan w:val="9"/>
            <w:vAlign w:val="top"/>
          </w:tcPr>
          <w:p w14:paraId="46FA5DC3">
            <w:pPr>
              <w:pStyle w:val="12"/>
              <w:spacing w:before="181" w:line="360" w:lineRule="auto"/>
              <w:ind w:left="2569" w:firstLine="542" w:firstLineChars="200"/>
              <w:jc w:val="both"/>
              <w:rPr>
                <w:sz w:val="28"/>
                <w:szCs w:val="28"/>
                <w:highlight w:val="none"/>
              </w:rPr>
            </w:pPr>
            <w:r>
              <w:rPr>
                <w:b/>
                <w:bCs/>
                <w:spacing w:val="-5"/>
                <w:sz w:val="28"/>
                <w:szCs w:val="28"/>
                <w:highlight w:val="none"/>
              </w:rPr>
              <w:t>职务加分分值一览表</w:t>
            </w:r>
          </w:p>
        </w:tc>
      </w:tr>
      <w:tr w14:paraId="175E80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731" w:type="dxa"/>
            <w:vAlign w:val="top"/>
          </w:tcPr>
          <w:p w14:paraId="69126915">
            <w:pPr>
              <w:spacing w:line="360" w:lineRule="auto"/>
              <w:rPr>
                <w:rFonts w:ascii="Arial"/>
                <w:sz w:val="21"/>
                <w:highlight w:val="none"/>
              </w:rPr>
            </w:pPr>
          </w:p>
          <w:p w14:paraId="4B12EB9F">
            <w:pPr>
              <w:pStyle w:val="12"/>
              <w:spacing w:before="59" w:line="360" w:lineRule="auto"/>
              <w:ind w:left="192"/>
              <w:rPr>
                <w:sz w:val="18"/>
                <w:szCs w:val="18"/>
                <w:highlight w:val="none"/>
              </w:rPr>
            </w:pPr>
            <w:r>
              <w:rPr>
                <w:b/>
                <w:bCs/>
                <w:spacing w:val="-4"/>
                <w:sz w:val="18"/>
                <w:szCs w:val="18"/>
                <w:highlight w:val="none"/>
              </w:rPr>
              <w:t>级别</w:t>
            </w:r>
          </w:p>
        </w:tc>
        <w:tc>
          <w:tcPr>
            <w:tcW w:w="847" w:type="dxa"/>
            <w:vAlign w:val="top"/>
          </w:tcPr>
          <w:p w14:paraId="4A6BD720">
            <w:pPr>
              <w:spacing w:line="360" w:lineRule="auto"/>
              <w:rPr>
                <w:rFonts w:ascii="Arial"/>
                <w:sz w:val="21"/>
                <w:highlight w:val="none"/>
              </w:rPr>
            </w:pPr>
          </w:p>
          <w:p w14:paraId="2AF058E1">
            <w:pPr>
              <w:pStyle w:val="12"/>
              <w:spacing w:before="58" w:line="360" w:lineRule="auto"/>
              <w:ind w:left="338" w:right="152" w:hanging="184"/>
              <w:rPr>
                <w:sz w:val="18"/>
                <w:szCs w:val="18"/>
                <w:highlight w:val="none"/>
              </w:rPr>
            </w:pPr>
            <w:r>
              <w:rPr>
                <w:b/>
                <w:bCs/>
                <w:spacing w:val="-4"/>
                <w:sz w:val="18"/>
                <w:szCs w:val="18"/>
                <w:highlight w:val="none"/>
              </w:rPr>
              <w:t>党团组</w:t>
            </w:r>
            <w:r>
              <w:rPr>
                <w:b/>
                <w:bCs/>
                <w:spacing w:val="-2"/>
                <w:sz w:val="18"/>
                <w:szCs w:val="18"/>
                <w:highlight w:val="none"/>
              </w:rPr>
              <w:t>织</w:t>
            </w:r>
          </w:p>
        </w:tc>
        <w:tc>
          <w:tcPr>
            <w:tcW w:w="900" w:type="dxa"/>
            <w:vAlign w:val="top"/>
          </w:tcPr>
          <w:p w14:paraId="73CF9015">
            <w:pPr>
              <w:spacing w:line="360" w:lineRule="auto"/>
              <w:rPr>
                <w:rFonts w:ascii="Arial"/>
                <w:sz w:val="21"/>
                <w:highlight w:val="none"/>
              </w:rPr>
            </w:pPr>
          </w:p>
          <w:p w14:paraId="668C3476">
            <w:pPr>
              <w:pStyle w:val="12"/>
              <w:spacing w:before="59" w:line="360" w:lineRule="auto"/>
              <w:ind w:left="184"/>
              <w:rPr>
                <w:sz w:val="18"/>
                <w:szCs w:val="18"/>
                <w:highlight w:val="none"/>
              </w:rPr>
            </w:pPr>
            <w:r>
              <w:rPr>
                <w:b/>
                <w:bCs/>
                <w:spacing w:val="-5"/>
                <w:sz w:val="18"/>
                <w:szCs w:val="18"/>
                <w:highlight w:val="none"/>
              </w:rPr>
              <w:t>学生会</w:t>
            </w:r>
          </w:p>
        </w:tc>
        <w:tc>
          <w:tcPr>
            <w:tcW w:w="832" w:type="dxa"/>
            <w:vAlign w:val="top"/>
          </w:tcPr>
          <w:p w14:paraId="0E303867">
            <w:pPr>
              <w:spacing w:line="360" w:lineRule="auto"/>
              <w:rPr>
                <w:rFonts w:ascii="Arial"/>
                <w:sz w:val="21"/>
                <w:highlight w:val="none"/>
              </w:rPr>
            </w:pPr>
          </w:p>
          <w:p w14:paraId="02179AAD">
            <w:pPr>
              <w:pStyle w:val="12"/>
              <w:spacing w:before="59" w:line="360" w:lineRule="auto"/>
              <w:ind w:left="240" w:right="144" w:hanging="75"/>
              <w:rPr>
                <w:sz w:val="18"/>
                <w:szCs w:val="18"/>
                <w:highlight w:val="none"/>
              </w:rPr>
            </w:pPr>
            <w:r>
              <w:rPr>
                <w:b/>
                <w:bCs/>
                <w:spacing w:val="-10"/>
                <w:sz w:val="18"/>
                <w:szCs w:val="18"/>
                <w:highlight w:val="none"/>
              </w:rPr>
              <w:t>国旗护</w:t>
            </w:r>
            <w:r>
              <w:rPr>
                <w:b/>
                <w:bCs/>
                <w:spacing w:val="-4"/>
                <w:sz w:val="18"/>
                <w:szCs w:val="18"/>
                <w:highlight w:val="none"/>
              </w:rPr>
              <w:t>卫队</w:t>
            </w:r>
          </w:p>
        </w:tc>
        <w:tc>
          <w:tcPr>
            <w:tcW w:w="1087" w:type="dxa"/>
            <w:vAlign w:val="top"/>
          </w:tcPr>
          <w:p w14:paraId="73372BE7">
            <w:pPr>
              <w:spacing w:line="360" w:lineRule="auto"/>
              <w:rPr>
                <w:rFonts w:ascii="Arial"/>
                <w:sz w:val="21"/>
                <w:highlight w:val="none"/>
              </w:rPr>
            </w:pPr>
          </w:p>
          <w:p w14:paraId="2CE0A9CC">
            <w:pPr>
              <w:pStyle w:val="12"/>
              <w:spacing w:before="58" w:line="360" w:lineRule="auto"/>
              <w:ind w:left="369" w:right="177" w:hanging="177"/>
              <w:rPr>
                <w:sz w:val="18"/>
                <w:szCs w:val="18"/>
                <w:highlight w:val="none"/>
              </w:rPr>
            </w:pPr>
            <w:r>
              <w:rPr>
                <w:b/>
                <w:bCs/>
                <w:spacing w:val="-5"/>
                <w:sz w:val="18"/>
                <w:szCs w:val="18"/>
                <w:highlight w:val="none"/>
              </w:rPr>
              <w:t>学生工作</w:t>
            </w:r>
            <w:r>
              <w:rPr>
                <w:b/>
                <w:bCs/>
                <w:spacing w:val="-4"/>
                <w:sz w:val="18"/>
                <w:szCs w:val="18"/>
                <w:highlight w:val="none"/>
              </w:rPr>
              <w:t>职务</w:t>
            </w:r>
          </w:p>
        </w:tc>
        <w:tc>
          <w:tcPr>
            <w:tcW w:w="962" w:type="dxa"/>
            <w:vAlign w:val="top"/>
          </w:tcPr>
          <w:p w14:paraId="36600E81">
            <w:pPr>
              <w:pStyle w:val="12"/>
              <w:spacing w:before="221" w:line="360" w:lineRule="auto"/>
              <w:ind w:left="125" w:right="117" w:hanging="1"/>
              <w:rPr>
                <w:sz w:val="18"/>
                <w:szCs w:val="18"/>
                <w:highlight w:val="none"/>
              </w:rPr>
            </w:pPr>
            <w:r>
              <w:rPr>
                <w:b/>
                <w:bCs/>
                <w:spacing w:val="-4"/>
                <w:sz w:val="18"/>
                <w:szCs w:val="18"/>
                <w:highlight w:val="none"/>
              </w:rPr>
              <w:t>青年志愿</w:t>
            </w:r>
            <w:r>
              <w:rPr>
                <w:b/>
                <w:bCs/>
                <w:spacing w:val="-5"/>
                <w:sz w:val="18"/>
                <w:szCs w:val="18"/>
                <w:highlight w:val="none"/>
              </w:rPr>
              <w:t>者协会，</w:t>
            </w:r>
            <w:r>
              <w:rPr>
                <w:b/>
                <w:bCs/>
                <w:spacing w:val="-4"/>
                <w:sz w:val="18"/>
                <w:szCs w:val="18"/>
                <w:highlight w:val="none"/>
              </w:rPr>
              <w:t>红十字会</w:t>
            </w:r>
          </w:p>
        </w:tc>
        <w:tc>
          <w:tcPr>
            <w:tcW w:w="1170" w:type="dxa"/>
            <w:vAlign w:val="top"/>
          </w:tcPr>
          <w:p w14:paraId="10125B1A">
            <w:pPr>
              <w:pStyle w:val="12"/>
              <w:spacing w:before="65" w:line="360" w:lineRule="auto"/>
              <w:ind w:left="140"/>
              <w:rPr>
                <w:sz w:val="18"/>
                <w:szCs w:val="18"/>
                <w:highlight w:val="none"/>
              </w:rPr>
            </w:pPr>
            <w:r>
              <w:rPr>
                <w:b/>
                <w:bCs/>
                <w:spacing w:val="-10"/>
                <w:sz w:val="18"/>
                <w:szCs w:val="18"/>
                <w:highlight w:val="none"/>
              </w:rPr>
              <w:t>校广播台，</w:t>
            </w:r>
          </w:p>
          <w:p w14:paraId="1BCA6308">
            <w:pPr>
              <w:pStyle w:val="12"/>
              <w:spacing w:before="97" w:line="360" w:lineRule="auto"/>
              <w:ind w:left="229"/>
              <w:rPr>
                <w:sz w:val="18"/>
                <w:szCs w:val="18"/>
                <w:highlight w:val="none"/>
              </w:rPr>
            </w:pPr>
            <w:r>
              <w:rPr>
                <w:b/>
                <w:bCs/>
                <w:spacing w:val="-4"/>
                <w:sz w:val="18"/>
                <w:szCs w:val="18"/>
                <w:highlight w:val="none"/>
              </w:rPr>
              <w:t>华南师大</w:t>
            </w:r>
          </w:p>
          <w:p w14:paraId="1DD218DB">
            <w:pPr>
              <w:pStyle w:val="12"/>
              <w:spacing w:before="97" w:line="360" w:lineRule="auto"/>
              <w:ind w:left="112"/>
              <w:rPr>
                <w:sz w:val="18"/>
                <w:szCs w:val="18"/>
                <w:highlight w:val="none"/>
              </w:rPr>
            </w:pPr>
            <w:r>
              <w:rPr>
                <w:b/>
                <w:bCs/>
                <w:spacing w:val="-13"/>
                <w:sz w:val="18"/>
                <w:szCs w:val="18"/>
                <w:highlight w:val="none"/>
              </w:rPr>
              <w:t>报、艺术团，</w:t>
            </w:r>
          </w:p>
          <w:p w14:paraId="65D0E2BB">
            <w:pPr>
              <w:pStyle w:val="12"/>
              <w:spacing w:before="98" w:line="360" w:lineRule="auto"/>
              <w:ind w:left="232"/>
              <w:rPr>
                <w:sz w:val="18"/>
                <w:szCs w:val="18"/>
                <w:highlight w:val="none"/>
              </w:rPr>
            </w:pPr>
            <w:r>
              <w:rPr>
                <w:b/>
                <w:bCs/>
                <w:spacing w:val="-5"/>
                <w:sz w:val="18"/>
                <w:szCs w:val="18"/>
                <w:highlight w:val="none"/>
              </w:rPr>
              <w:t>学生助理</w:t>
            </w:r>
          </w:p>
        </w:tc>
        <w:tc>
          <w:tcPr>
            <w:tcW w:w="1349" w:type="dxa"/>
            <w:vAlign w:val="top"/>
          </w:tcPr>
          <w:p w14:paraId="414635E2">
            <w:pPr>
              <w:pStyle w:val="12"/>
              <w:spacing w:before="221" w:line="360" w:lineRule="auto"/>
              <w:ind w:left="141"/>
              <w:rPr>
                <w:sz w:val="18"/>
                <w:szCs w:val="18"/>
                <w:highlight w:val="none"/>
              </w:rPr>
            </w:pPr>
            <w:r>
              <w:rPr>
                <w:b/>
                <w:bCs/>
                <w:spacing w:val="-3"/>
                <w:sz w:val="18"/>
                <w:szCs w:val="18"/>
                <w:highlight w:val="none"/>
              </w:rPr>
              <w:t>其它校内组织</w:t>
            </w:r>
          </w:p>
          <w:p w14:paraId="0A8AB5A7">
            <w:pPr>
              <w:pStyle w:val="12"/>
              <w:spacing w:before="97" w:line="360" w:lineRule="auto"/>
              <w:ind w:left="549" w:right="125" w:hanging="404"/>
              <w:rPr>
                <w:sz w:val="18"/>
                <w:szCs w:val="18"/>
                <w:highlight w:val="none"/>
              </w:rPr>
            </w:pPr>
            <w:r>
              <w:rPr>
                <w:b/>
                <w:bCs/>
                <w:spacing w:val="-4"/>
                <w:sz w:val="18"/>
                <w:szCs w:val="18"/>
                <w:highlight w:val="none"/>
              </w:rPr>
              <w:t>（具体见附件</w:t>
            </w:r>
            <w:r>
              <w:rPr>
                <w:rFonts w:hint="eastAsia"/>
                <w:spacing w:val="4"/>
                <w:sz w:val="18"/>
                <w:szCs w:val="18"/>
                <w:highlight w:val="none"/>
                <w:lang w:val="en-US" w:eastAsia="zh-CN"/>
              </w:rPr>
              <w:t>三</w:t>
            </w:r>
            <w:r>
              <w:rPr>
                <w:b/>
                <w:bCs/>
                <w:spacing w:val="-8"/>
                <w:sz w:val="18"/>
                <w:szCs w:val="18"/>
                <w:highlight w:val="none"/>
              </w:rPr>
              <w:t>）</w:t>
            </w:r>
          </w:p>
        </w:tc>
        <w:tc>
          <w:tcPr>
            <w:tcW w:w="859" w:type="dxa"/>
            <w:vAlign w:val="top"/>
          </w:tcPr>
          <w:p w14:paraId="25FCE2A0">
            <w:pPr>
              <w:spacing w:line="360" w:lineRule="auto"/>
              <w:rPr>
                <w:rFonts w:ascii="Arial"/>
                <w:sz w:val="21"/>
                <w:highlight w:val="none"/>
              </w:rPr>
            </w:pPr>
          </w:p>
          <w:p w14:paraId="3ABE5B58">
            <w:pPr>
              <w:pStyle w:val="12"/>
              <w:spacing w:before="58" w:line="360" w:lineRule="auto"/>
              <w:ind w:left="254"/>
              <w:rPr>
                <w:sz w:val="18"/>
                <w:szCs w:val="18"/>
                <w:highlight w:val="none"/>
              </w:rPr>
            </w:pPr>
            <w:r>
              <w:rPr>
                <w:b/>
                <w:bCs/>
                <w:spacing w:val="-4"/>
                <w:sz w:val="18"/>
                <w:szCs w:val="18"/>
                <w:highlight w:val="none"/>
              </w:rPr>
              <w:t>分值</w:t>
            </w:r>
          </w:p>
        </w:tc>
      </w:tr>
      <w:tr w14:paraId="41AE04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6" w:hRule="atLeast"/>
        </w:trPr>
        <w:tc>
          <w:tcPr>
            <w:tcW w:w="731" w:type="dxa"/>
            <w:tcBorders>
              <w:bottom w:val="single" w:color="000000" w:sz="4" w:space="0"/>
            </w:tcBorders>
            <w:vAlign w:val="top"/>
          </w:tcPr>
          <w:p w14:paraId="39F0E493">
            <w:pPr>
              <w:spacing w:line="360" w:lineRule="auto"/>
              <w:rPr>
                <w:rFonts w:ascii="Arial"/>
                <w:sz w:val="21"/>
                <w:highlight w:val="none"/>
              </w:rPr>
            </w:pPr>
          </w:p>
          <w:p w14:paraId="79CA2BB1">
            <w:pPr>
              <w:spacing w:line="360" w:lineRule="auto"/>
              <w:rPr>
                <w:rFonts w:ascii="Arial"/>
                <w:sz w:val="21"/>
                <w:highlight w:val="none"/>
              </w:rPr>
            </w:pPr>
          </w:p>
          <w:p w14:paraId="52A1B7BC">
            <w:pPr>
              <w:spacing w:line="360" w:lineRule="auto"/>
              <w:rPr>
                <w:rFonts w:ascii="Arial"/>
                <w:sz w:val="21"/>
                <w:highlight w:val="none"/>
              </w:rPr>
            </w:pPr>
          </w:p>
          <w:p w14:paraId="42D8686C">
            <w:pPr>
              <w:pStyle w:val="12"/>
              <w:spacing w:before="59" w:line="360" w:lineRule="auto"/>
              <w:ind w:left="283"/>
              <w:rPr>
                <w:sz w:val="18"/>
                <w:szCs w:val="18"/>
                <w:highlight w:val="none"/>
              </w:rPr>
            </w:pPr>
            <w:r>
              <w:rPr>
                <w:b/>
                <w:bCs/>
                <w:spacing w:val="-2"/>
                <w:position w:val="-4"/>
                <w:sz w:val="18"/>
                <w:szCs w:val="18"/>
                <w:highlight w:val="none"/>
              </w:rPr>
              <w:t>一</w:t>
            </w:r>
          </w:p>
        </w:tc>
        <w:tc>
          <w:tcPr>
            <w:tcW w:w="847" w:type="dxa"/>
            <w:tcBorders>
              <w:bottom w:val="single" w:color="000000" w:sz="4" w:space="0"/>
            </w:tcBorders>
            <w:vAlign w:val="top"/>
          </w:tcPr>
          <w:p w14:paraId="08861D8A">
            <w:pPr>
              <w:spacing w:line="360" w:lineRule="auto"/>
              <w:rPr>
                <w:rFonts w:ascii="Arial"/>
                <w:sz w:val="21"/>
                <w:highlight w:val="none"/>
              </w:rPr>
            </w:pPr>
          </w:p>
          <w:p w14:paraId="4D97F32F">
            <w:pPr>
              <w:pStyle w:val="12"/>
              <w:spacing w:before="59" w:line="360" w:lineRule="auto"/>
              <w:ind w:left="157"/>
              <w:rPr>
                <w:sz w:val="18"/>
                <w:szCs w:val="18"/>
                <w:highlight w:val="none"/>
              </w:rPr>
            </w:pPr>
            <w:r>
              <w:rPr>
                <w:spacing w:val="-2"/>
                <w:sz w:val="18"/>
                <w:szCs w:val="18"/>
                <w:highlight w:val="none"/>
              </w:rPr>
              <w:t>校团委</w:t>
            </w:r>
          </w:p>
          <w:p w14:paraId="2EEEEE46">
            <w:pPr>
              <w:pStyle w:val="12"/>
              <w:spacing w:before="96" w:line="360" w:lineRule="auto"/>
              <w:ind w:left="159"/>
              <w:rPr>
                <w:sz w:val="18"/>
                <w:szCs w:val="18"/>
                <w:highlight w:val="none"/>
              </w:rPr>
            </w:pPr>
            <w:r>
              <w:rPr>
                <w:spacing w:val="-3"/>
                <w:sz w:val="18"/>
                <w:szCs w:val="18"/>
                <w:highlight w:val="none"/>
              </w:rPr>
              <w:t>兼职团</w:t>
            </w:r>
          </w:p>
          <w:p w14:paraId="7086D283">
            <w:pPr>
              <w:pStyle w:val="12"/>
              <w:spacing w:before="97" w:line="360" w:lineRule="auto"/>
              <w:ind w:left="335"/>
              <w:rPr>
                <w:sz w:val="18"/>
                <w:szCs w:val="18"/>
                <w:highlight w:val="none"/>
              </w:rPr>
            </w:pPr>
            <w:r>
              <w:rPr>
                <w:sz w:val="18"/>
                <w:szCs w:val="18"/>
                <w:highlight w:val="none"/>
              </w:rPr>
              <w:t>干</w:t>
            </w:r>
          </w:p>
        </w:tc>
        <w:tc>
          <w:tcPr>
            <w:tcW w:w="900" w:type="dxa"/>
            <w:tcBorders>
              <w:bottom w:val="single" w:color="000000" w:sz="4" w:space="0"/>
            </w:tcBorders>
            <w:vAlign w:val="top"/>
          </w:tcPr>
          <w:p w14:paraId="3A02D332">
            <w:pPr>
              <w:pStyle w:val="12"/>
              <w:spacing w:before="67" w:line="360" w:lineRule="auto"/>
              <w:ind w:left="183"/>
              <w:rPr>
                <w:sz w:val="18"/>
                <w:szCs w:val="18"/>
                <w:highlight w:val="none"/>
              </w:rPr>
            </w:pPr>
            <w:r>
              <w:rPr>
                <w:spacing w:val="-2"/>
                <w:sz w:val="18"/>
                <w:szCs w:val="18"/>
                <w:highlight w:val="none"/>
              </w:rPr>
              <w:t>校学生</w:t>
            </w:r>
          </w:p>
          <w:p w14:paraId="432232E5">
            <w:pPr>
              <w:pStyle w:val="12"/>
              <w:spacing w:before="97" w:line="360" w:lineRule="auto"/>
              <w:ind w:left="182"/>
              <w:rPr>
                <w:sz w:val="18"/>
                <w:szCs w:val="18"/>
                <w:highlight w:val="none"/>
              </w:rPr>
            </w:pPr>
            <w:r>
              <w:rPr>
                <w:spacing w:val="-2"/>
                <w:sz w:val="18"/>
                <w:szCs w:val="18"/>
                <w:highlight w:val="none"/>
              </w:rPr>
              <w:t>会民主</w:t>
            </w:r>
          </w:p>
          <w:p w14:paraId="43D1AC19">
            <w:pPr>
              <w:pStyle w:val="12"/>
              <w:spacing w:before="98" w:line="360" w:lineRule="auto"/>
              <w:ind w:left="182"/>
              <w:rPr>
                <w:sz w:val="18"/>
                <w:szCs w:val="18"/>
                <w:highlight w:val="none"/>
              </w:rPr>
            </w:pPr>
            <w:r>
              <w:rPr>
                <w:spacing w:val="-2"/>
                <w:sz w:val="18"/>
                <w:szCs w:val="18"/>
                <w:highlight w:val="none"/>
              </w:rPr>
              <w:t>评议合</w:t>
            </w:r>
          </w:p>
          <w:p w14:paraId="6C11D4C1">
            <w:pPr>
              <w:pStyle w:val="12"/>
              <w:spacing w:before="96" w:line="360" w:lineRule="auto"/>
              <w:ind w:left="183"/>
              <w:rPr>
                <w:sz w:val="18"/>
                <w:szCs w:val="18"/>
                <w:highlight w:val="none"/>
              </w:rPr>
            </w:pPr>
            <w:r>
              <w:rPr>
                <w:spacing w:val="-2"/>
                <w:sz w:val="18"/>
                <w:szCs w:val="18"/>
                <w:highlight w:val="none"/>
              </w:rPr>
              <w:t>格的主</w:t>
            </w:r>
          </w:p>
          <w:p w14:paraId="3469AF89">
            <w:pPr>
              <w:pStyle w:val="12"/>
              <w:spacing w:before="98" w:line="360" w:lineRule="auto"/>
              <w:ind w:left="183"/>
              <w:rPr>
                <w:sz w:val="18"/>
                <w:szCs w:val="18"/>
                <w:highlight w:val="none"/>
              </w:rPr>
            </w:pPr>
            <w:r>
              <w:rPr>
                <w:spacing w:val="-2"/>
                <w:sz w:val="18"/>
                <w:szCs w:val="18"/>
                <w:highlight w:val="none"/>
              </w:rPr>
              <w:t>席团成</w:t>
            </w:r>
          </w:p>
          <w:p w14:paraId="79A06DB2">
            <w:pPr>
              <w:pStyle w:val="12"/>
              <w:spacing w:before="97" w:line="360" w:lineRule="auto"/>
              <w:ind w:left="370"/>
              <w:rPr>
                <w:sz w:val="18"/>
                <w:szCs w:val="18"/>
                <w:highlight w:val="none"/>
              </w:rPr>
            </w:pPr>
            <w:r>
              <w:rPr>
                <w:sz w:val="18"/>
                <w:szCs w:val="18"/>
                <w:highlight w:val="none"/>
              </w:rPr>
              <w:t>员</w:t>
            </w:r>
          </w:p>
        </w:tc>
        <w:tc>
          <w:tcPr>
            <w:tcW w:w="832" w:type="dxa"/>
            <w:tcBorders>
              <w:bottom w:val="single" w:color="000000" w:sz="4" w:space="0"/>
            </w:tcBorders>
            <w:vAlign w:val="top"/>
          </w:tcPr>
          <w:p w14:paraId="218BFEEA">
            <w:pPr>
              <w:spacing w:line="360" w:lineRule="auto"/>
              <w:rPr>
                <w:rFonts w:ascii="Arial"/>
                <w:sz w:val="21"/>
                <w:highlight w:val="none"/>
              </w:rPr>
            </w:pPr>
          </w:p>
          <w:p w14:paraId="0DFC75F5">
            <w:pPr>
              <w:pStyle w:val="12"/>
              <w:spacing w:before="59" w:line="360" w:lineRule="auto"/>
              <w:ind w:left="167"/>
              <w:rPr>
                <w:sz w:val="18"/>
                <w:szCs w:val="18"/>
                <w:highlight w:val="none"/>
              </w:rPr>
            </w:pPr>
            <w:r>
              <w:rPr>
                <w:spacing w:val="-6"/>
                <w:sz w:val="18"/>
                <w:szCs w:val="18"/>
                <w:highlight w:val="none"/>
              </w:rPr>
              <w:t>国旗护</w:t>
            </w:r>
          </w:p>
          <w:p w14:paraId="07BF34E0">
            <w:pPr>
              <w:pStyle w:val="12"/>
              <w:spacing w:before="97" w:line="360" w:lineRule="auto"/>
              <w:ind w:left="151"/>
              <w:rPr>
                <w:sz w:val="18"/>
                <w:szCs w:val="18"/>
                <w:highlight w:val="none"/>
              </w:rPr>
            </w:pPr>
            <w:r>
              <w:rPr>
                <w:spacing w:val="-2"/>
                <w:sz w:val="18"/>
                <w:szCs w:val="18"/>
                <w:highlight w:val="none"/>
              </w:rPr>
              <w:t>卫队大</w:t>
            </w:r>
          </w:p>
          <w:p w14:paraId="18A7C88E">
            <w:pPr>
              <w:pStyle w:val="12"/>
              <w:spacing w:before="97" w:line="360" w:lineRule="auto"/>
              <w:ind w:left="252"/>
              <w:rPr>
                <w:sz w:val="18"/>
                <w:szCs w:val="18"/>
                <w:highlight w:val="none"/>
              </w:rPr>
            </w:pPr>
            <w:r>
              <w:rPr>
                <w:spacing w:val="-6"/>
                <w:sz w:val="18"/>
                <w:szCs w:val="18"/>
                <w:highlight w:val="none"/>
              </w:rPr>
              <w:t>队长</w:t>
            </w:r>
          </w:p>
        </w:tc>
        <w:tc>
          <w:tcPr>
            <w:tcW w:w="1087" w:type="dxa"/>
            <w:tcBorders>
              <w:bottom w:val="single" w:color="000000" w:sz="4" w:space="0"/>
            </w:tcBorders>
            <w:vAlign w:val="top"/>
          </w:tcPr>
          <w:p w14:paraId="7EE60D8F">
            <w:pPr>
              <w:spacing w:line="360" w:lineRule="auto"/>
              <w:rPr>
                <w:rFonts w:ascii="Arial"/>
                <w:sz w:val="21"/>
                <w:highlight w:val="none"/>
              </w:rPr>
            </w:pPr>
          </w:p>
          <w:p w14:paraId="2FC94027">
            <w:pPr>
              <w:pStyle w:val="12"/>
              <w:spacing w:before="59" w:line="360" w:lineRule="auto"/>
              <w:ind w:left="192"/>
              <w:rPr>
                <w:sz w:val="18"/>
                <w:szCs w:val="18"/>
                <w:highlight w:val="none"/>
              </w:rPr>
            </w:pPr>
            <w:r>
              <w:rPr>
                <w:spacing w:val="-2"/>
                <w:sz w:val="18"/>
                <w:szCs w:val="18"/>
                <w:highlight w:val="none"/>
              </w:rPr>
              <w:t>兼职班主</w:t>
            </w:r>
          </w:p>
          <w:p w14:paraId="657AF0F6">
            <w:pPr>
              <w:pStyle w:val="12"/>
              <w:spacing w:before="97" w:line="360" w:lineRule="auto"/>
              <w:ind w:left="459"/>
              <w:rPr>
                <w:sz w:val="18"/>
                <w:szCs w:val="18"/>
                <w:highlight w:val="none"/>
              </w:rPr>
            </w:pPr>
            <w:r>
              <w:rPr>
                <w:sz w:val="18"/>
                <w:szCs w:val="18"/>
                <w:highlight w:val="none"/>
              </w:rPr>
              <w:t>任</w:t>
            </w:r>
          </w:p>
          <w:p w14:paraId="6286B66D">
            <w:pPr>
              <w:pStyle w:val="12"/>
              <w:spacing w:before="97" w:line="360" w:lineRule="auto"/>
              <w:ind w:left="190"/>
              <w:rPr>
                <w:sz w:val="18"/>
                <w:szCs w:val="18"/>
                <w:highlight w:val="none"/>
              </w:rPr>
            </w:pPr>
            <w:r>
              <w:rPr>
                <w:spacing w:val="-2"/>
                <w:sz w:val="18"/>
                <w:szCs w:val="18"/>
                <w:highlight w:val="none"/>
              </w:rPr>
              <w:t>协会主席</w:t>
            </w:r>
          </w:p>
        </w:tc>
        <w:tc>
          <w:tcPr>
            <w:tcW w:w="962" w:type="dxa"/>
            <w:tcBorders>
              <w:bottom w:val="single" w:color="000000" w:sz="4" w:space="0"/>
            </w:tcBorders>
            <w:vAlign w:val="top"/>
          </w:tcPr>
          <w:p w14:paraId="4672F9CB">
            <w:pPr>
              <w:spacing w:line="360" w:lineRule="auto"/>
              <w:rPr>
                <w:rFonts w:ascii="Arial"/>
                <w:sz w:val="21"/>
                <w:highlight w:val="none"/>
              </w:rPr>
            </w:pPr>
          </w:p>
        </w:tc>
        <w:tc>
          <w:tcPr>
            <w:tcW w:w="1170" w:type="dxa"/>
            <w:tcBorders>
              <w:bottom w:val="single" w:color="000000" w:sz="4" w:space="0"/>
            </w:tcBorders>
            <w:vAlign w:val="top"/>
          </w:tcPr>
          <w:p w14:paraId="3A2CE8F3">
            <w:pPr>
              <w:spacing w:line="360" w:lineRule="auto"/>
              <w:rPr>
                <w:rFonts w:ascii="Arial"/>
                <w:sz w:val="21"/>
                <w:highlight w:val="none"/>
              </w:rPr>
            </w:pPr>
          </w:p>
        </w:tc>
        <w:tc>
          <w:tcPr>
            <w:tcW w:w="1349" w:type="dxa"/>
            <w:tcBorders>
              <w:bottom w:val="single" w:color="000000" w:sz="4" w:space="0"/>
            </w:tcBorders>
            <w:vAlign w:val="top"/>
          </w:tcPr>
          <w:p w14:paraId="7E311497">
            <w:pPr>
              <w:spacing w:line="360" w:lineRule="auto"/>
              <w:rPr>
                <w:rFonts w:ascii="Arial"/>
                <w:sz w:val="21"/>
                <w:highlight w:val="none"/>
              </w:rPr>
            </w:pPr>
          </w:p>
        </w:tc>
        <w:tc>
          <w:tcPr>
            <w:tcW w:w="859" w:type="dxa"/>
            <w:tcBorders>
              <w:bottom w:val="single" w:color="000000" w:sz="4" w:space="0"/>
            </w:tcBorders>
            <w:vAlign w:val="top"/>
          </w:tcPr>
          <w:p w14:paraId="7B4F4712">
            <w:pPr>
              <w:spacing w:line="360" w:lineRule="auto"/>
              <w:rPr>
                <w:rFonts w:ascii="Arial"/>
                <w:sz w:val="21"/>
                <w:highlight w:val="none"/>
              </w:rPr>
            </w:pPr>
          </w:p>
          <w:p w14:paraId="49E0AAA9">
            <w:pPr>
              <w:spacing w:line="360" w:lineRule="auto"/>
              <w:rPr>
                <w:rFonts w:ascii="Arial"/>
                <w:sz w:val="21"/>
                <w:highlight w:val="none"/>
              </w:rPr>
            </w:pPr>
          </w:p>
          <w:p w14:paraId="4B2F429F">
            <w:pPr>
              <w:spacing w:line="360" w:lineRule="auto"/>
              <w:rPr>
                <w:rFonts w:ascii="Arial"/>
                <w:sz w:val="21"/>
                <w:highlight w:val="none"/>
              </w:rPr>
            </w:pPr>
          </w:p>
          <w:p w14:paraId="0E6A9BEB">
            <w:pPr>
              <w:pStyle w:val="12"/>
              <w:spacing w:before="59" w:line="360" w:lineRule="auto"/>
              <w:ind w:left="345"/>
              <w:rPr>
                <w:sz w:val="18"/>
                <w:szCs w:val="18"/>
                <w:highlight w:val="none"/>
              </w:rPr>
            </w:pPr>
            <w:r>
              <w:rPr>
                <w:b/>
                <w:bCs/>
                <w:spacing w:val="-4"/>
                <w:sz w:val="18"/>
                <w:szCs w:val="18"/>
                <w:highlight w:val="none"/>
              </w:rPr>
              <w:t>20</w:t>
            </w:r>
          </w:p>
        </w:tc>
      </w:tr>
      <w:tr w14:paraId="463F55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1" w:hRule="atLeast"/>
        </w:trPr>
        <w:tc>
          <w:tcPr>
            <w:tcW w:w="731" w:type="dxa"/>
            <w:tcBorders>
              <w:top w:val="single" w:color="000000" w:sz="4" w:space="0"/>
            </w:tcBorders>
            <w:vAlign w:val="top"/>
          </w:tcPr>
          <w:p w14:paraId="6B749FAF">
            <w:pPr>
              <w:spacing w:line="360" w:lineRule="auto"/>
              <w:rPr>
                <w:rFonts w:ascii="Arial"/>
                <w:sz w:val="21"/>
                <w:highlight w:val="none"/>
              </w:rPr>
            </w:pPr>
          </w:p>
          <w:p w14:paraId="3CADF9AA">
            <w:pPr>
              <w:spacing w:line="360" w:lineRule="auto"/>
              <w:rPr>
                <w:rFonts w:ascii="Arial"/>
                <w:sz w:val="21"/>
                <w:highlight w:val="none"/>
              </w:rPr>
            </w:pPr>
          </w:p>
          <w:p w14:paraId="191521F2">
            <w:pPr>
              <w:spacing w:line="360" w:lineRule="auto"/>
              <w:rPr>
                <w:rFonts w:ascii="Arial"/>
                <w:sz w:val="21"/>
                <w:highlight w:val="none"/>
              </w:rPr>
            </w:pPr>
          </w:p>
          <w:p w14:paraId="65CD3D82">
            <w:pPr>
              <w:pStyle w:val="12"/>
              <w:spacing w:before="59" w:line="360" w:lineRule="auto"/>
              <w:ind w:left="283"/>
              <w:rPr>
                <w:sz w:val="18"/>
                <w:szCs w:val="18"/>
                <w:highlight w:val="none"/>
              </w:rPr>
            </w:pPr>
            <w:r>
              <w:rPr>
                <w:b/>
                <w:bCs/>
                <w:spacing w:val="-2"/>
                <w:sz w:val="18"/>
                <w:szCs w:val="18"/>
                <w:highlight w:val="none"/>
              </w:rPr>
              <w:t>二</w:t>
            </w:r>
          </w:p>
        </w:tc>
        <w:tc>
          <w:tcPr>
            <w:tcW w:w="847" w:type="dxa"/>
            <w:tcBorders>
              <w:top w:val="single" w:color="000000" w:sz="4" w:space="0"/>
            </w:tcBorders>
            <w:vAlign w:val="top"/>
          </w:tcPr>
          <w:p w14:paraId="2101BB47">
            <w:pPr>
              <w:spacing w:line="360" w:lineRule="auto"/>
              <w:rPr>
                <w:rFonts w:ascii="Arial"/>
                <w:sz w:val="21"/>
                <w:highlight w:val="none"/>
              </w:rPr>
            </w:pPr>
          </w:p>
          <w:p w14:paraId="600B15C5">
            <w:pPr>
              <w:spacing w:line="360" w:lineRule="auto"/>
              <w:rPr>
                <w:rFonts w:ascii="Arial"/>
                <w:sz w:val="21"/>
                <w:highlight w:val="none"/>
              </w:rPr>
            </w:pPr>
          </w:p>
          <w:p w14:paraId="2C5CC860">
            <w:pPr>
              <w:pStyle w:val="12"/>
              <w:spacing w:before="58" w:line="360" w:lineRule="auto"/>
              <w:ind w:left="160" w:right="152" w:firstLine="8"/>
              <w:rPr>
                <w:sz w:val="18"/>
                <w:szCs w:val="18"/>
                <w:highlight w:val="none"/>
              </w:rPr>
            </w:pPr>
            <w:r>
              <w:rPr>
                <w:spacing w:val="-7"/>
                <w:sz w:val="18"/>
                <w:szCs w:val="18"/>
                <w:highlight w:val="none"/>
              </w:rPr>
              <w:t>院团委</w:t>
            </w:r>
            <w:r>
              <w:rPr>
                <w:spacing w:val="-4"/>
                <w:sz w:val="18"/>
                <w:szCs w:val="18"/>
                <w:highlight w:val="none"/>
              </w:rPr>
              <w:t>副书记</w:t>
            </w:r>
          </w:p>
        </w:tc>
        <w:tc>
          <w:tcPr>
            <w:tcW w:w="900" w:type="dxa"/>
            <w:tcBorders>
              <w:top w:val="single" w:color="000000" w:sz="4" w:space="0"/>
            </w:tcBorders>
            <w:vAlign w:val="top"/>
          </w:tcPr>
          <w:p w14:paraId="7A2D65C8">
            <w:pPr>
              <w:pStyle w:val="12"/>
              <w:spacing w:before="63" w:line="360" w:lineRule="auto"/>
              <w:ind w:left="195"/>
              <w:rPr>
                <w:sz w:val="18"/>
                <w:szCs w:val="18"/>
                <w:highlight w:val="none"/>
              </w:rPr>
            </w:pPr>
            <w:r>
              <w:rPr>
                <w:spacing w:val="-5"/>
                <w:sz w:val="18"/>
                <w:szCs w:val="18"/>
                <w:highlight w:val="none"/>
              </w:rPr>
              <w:t>院学生</w:t>
            </w:r>
          </w:p>
          <w:p w14:paraId="6337BE00">
            <w:pPr>
              <w:pStyle w:val="12"/>
              <w:spacing w:before="97" w:line="360" w:lineRule="auto"/>
              <w:ind w:left="182"/>
              <w:rPr>
                <w:sz w:val="18"/>
                <w:szCs w:val="18"/>
                <w:highlight w:val="none"/>
              </w:rPr>
            </w:pPr>
            <w:r>
              <w:rPr>
                <w:spacing w:val="-2"/>
                <w:sz w:val="18"/>
                <w:szCs w:val="18"/>
                <w:highlight w:val="none"/>
              </w:rPr>
              <w:t>会民主</w:t>
            </w:r>
          </w:p>
          <w:p w14:paraId="4F8B2BB0">
            <w:pPr>
              <w:pStyle w:val="12"/>
              <w:spacing w:before="98" w:line="360" w:lineRule="auto"/>
              <w:ind w:left="182"/>
              <w:rPr>
                <w:sz w:val="18"/>
                <w:szCs w:val="18"/>
                <w:highlight w:val="none"/>
              </w:rPr>
            </w:pPr>
            <w:r>
              <w:rPr>
                <w:spacing w:val="-2"/>
                <w:sz w:val="18"/>
                <w:szCs w:val="18"/>
                <w:highlight w:val="none"/>
              </w:rPr>
              <w:t>评议合</w:t>
            </w:r>
          </w:p>
          <w:p w14:paraId="5471B6C5">
            <w:pPr>
              <w:pStyle w:val="12"/>
              <w:spacing w:before="96" w:line="360" w:lineRule="auto"/>
              <w:ind w:left="183"/>
              <w:rPr>
                <w:sz w:val="18"/>
                <w:szCs w:val="18"/>
                <w:highlight w:val="none"/>
              </w:rPr>
            </w:pPr>
            <w:r>
              <w:rPr>
                <w:spacing w:val="-2"/>
                <w:sz w:val="18"/>
                <w:szCs w:val="18"/>
                <w:highlight w:val="none"/>
              </w:rPr>
              <w:t>格的主</w:t>
            </w:r>
          </w:p>
          <w:p w14:paraId="5A9288FE">
            <w:pPr>
              <w:pStyle w:val="12"/>
              <w:spacing w:before="98" w:line="360" w:lineRule="auto"/>
              <w:ind w:left="183"/>
              <w:rPr>
                <w:sz w:val="18"/>
                <w:szCs w:val="18"/>
                <w:highlight w:val="none"/>
              </w:rPr>
            </w:pPr>
            <w:r>
              <w:rPr>
                <w:spacing w:val="-2"/>
                <w:sz w:val="18"/>
                <w:szCs w:val="18"/>
                <w:highlight w:val="none"/>
              </w:rPr>
              <w:t>席团成</w:t>
            </w:r>
          </w:p>
          <w:p w14:paraId="081F4744">
            <w:pPr>
              <w:pStyle w:val="12"/>
              <w:spacing w:before="97" w:line="360" w:lineRule="auto"/>
              <w:ind w:left="370"/>
              <w:rPr>
                <w:sz w:val="18"/>
                <w:szCs w:val="18"/>
                <w:highlight w:val="none"/>
              </w:rPr>
            </w:pPr>
            <w:r>
              <w:rPr>
                <w:sz w:val="18"/>
                <w:szCs w:val="18"/>
                <w:highlight w:val="none"/>
              </w:rPr>
              <w:t>员</w:t>
            </w:r>
          </w:p>
        </w:tc>
        <w:tc>
          <w:tcPr>
            <w:tcW w:w="832" w:type="dxa"/>
            <w:tcBorders>
              <w:top w:val="single" w:color="000000" w:sz="4" w:space="0"/>
            </w:tcBorders>
            <w:vAlign w:val="top"/>
          </w:tcPr>
          <w:p w14:paraId="7E1FAC21">
            <w:pPr>
              <w:spacing w:line="360" w:lineRule="auto"/>
              <w:rPr>
                <w:rFonts w:ascii="Arial"/>
                <w:sz w:val="21"/>
                <w:highlight w:val="none"/>
              </w:rPr>
            </w:pPr>
          </w:p>
          <w:p w14:paraId="1A0B43E0">
            <w:pPr>
              <w:spacing w:line="360" w:lineRule="auto"/>
              <w:rPr>
                <w:rFonts w:ascii="Arial"/>
                <w:sz w:val="21"/>
                <w:highlight w:val="none"/>
              </w:rPr>
            </w:pPr>
          </w:p>
          <w:p w14:paraId="5940E2D5">
            <w:pPr>
              <w:pStyle w:val="12"/>
              <w:spacing w:before="59" w:line="360" w:lineRule="auto"/>
              <w:ind w:left="167"/>
              <w:rPr>
                <w:sz w:val="18"/>
                <w:szCs w:val="18"/>
                <w:highlight w:val="none"/>
              </w:rPr>
            </w:pPr>
            <w:r>
              <w:rPr>
                <w:spacing w:val="-6"/>
                <w:sz w:val="18"/>
                <w:szCs w:val="18"/>
                <w:highlight w:val="none"/>
              </w:rPr>
              <w:t>国旗护</w:t>
            </w:r>
          </w:p>
          <w:p w14:paraId="3D7F0854">
            <w:pPr>
              <w:pStyle w:val="12"/>
              <w:spacing w:before="97" w:line="360" w:lineRule="auto"/>
              <w:ind w:left="151"/>
              <w:rPr>
                <w:sz w:val="18"/>
                <w:szCs w:val="18"/>
                <w:highlight w:val="none"/>
              </w:rPr>
            </w:pPr>
            <w:r>
              <w:rPr>
                <w:spacing w:val="-2"/>
                <w:sz w:val="18"/>
                <w:szCs w:val="18"/>
                <w:highlight w:val="none"/>
              </w:rPr>
              <w:t>卫队队</w:t>
            </w:r>
          </w:p>
          <w:p w14:paraId="7B827035">
            <w:pPr>
              <w:pStyle w:val="12"/>
              <w:spacing w:before="94" w:line="360" w:lineRule="auto"/>
              <w:ind w:left="330"/>
              <w:rPr>
                <w:sz w:val="18"/>
                <w:szCs w:val="18"/>
                <w:highlight w:val="none"/>
              </w:rPr>
            </w:pPr>
            <w:r>
              <w:rPr>
                <w:sz w:val="18"/>
                <w:szCs w:val="18"/>
                <w:highlight w:val="none"/>
              </w:rPr>
              <w:t>长</w:t>
            </w:r>
          </w:p>
        </w:tc>
        <w:tc>
          <w:tcPr>
            <w:tcW w:w="1087" w:type="dxa"/>
            <w:tcBorders>
              <w:top w:val="single" w:color="000000" w:sz="4" w:space="0"/>
            </w:tcBorders>
            <w:vAlign w:val="top"/>
          </w:tcPr>
          <w:p w14:paraId="69E0C14F">
            <w:pPr>
              <w:spacing w:line="360" w:lineRule="auto"/>
              <w:rPr>
                <w:rFonts w:ascii="Arial"/>
                <w:sz w:val="21"/>
                <w:highlight w:val="none"/>
              </w:rPr>
            </w:pPr>
          </w:p>
          <w:p w14:paraId="310EBAAE">
            <w:pPr>
              <w:spacing w:line="360" w:lineRule="auto"/>
              <w:rPr>
                <w:rFonts w:ascii="Arial"/>
                <w:sz w:val="21"/>
                <w:highlight w:val="none"/>
              </w:rPr>
            </w:pPr>
          </w:p>
          <w:p w14:paraId="3EF2A002">
            <w:pPr>
              <w:pStyle w:val="12"/>
              <w:spacing w:before="58" w:line="360" w:lineRule="auto"/>
              <w:ind w:left="459" w:right="179" w:hanging="267"/>
              <w:rPr>
                <w:sz w:val="18"/>
                <w:szCs w:val="18"/>
                <w:highlight w:val="none"/>
              </w:rPr>
            </w:pPr>
            <w:r>
              <w:rPr>
                <w:spacing w:val="-3"/>
                <w:sz w:val="18"/>
                <w:szCs w:val="18"/>
                <w:highlight w:val="none"/>
              </w:rPr>
              <w:t>兼职班主</w:t>
            </w:r>
            <w:r>
              <w:rPr>
                <w:sz w:val="18"/>
                <w:szCs w:val="18"/>
                <w:highlight w:val="none"/>
              </w:rPr>
              <w:t>任</w:t>
            </w:r>
          </w:p>
        </w:tc>
        <w:tc>
          <w:tcPr>
            <w:tcW w:w="962" w:type="dxa"/>
            <w:tcBorders>
              <w:top w:val="single" w:color="000000" w:sz="4" w:space="0"/>
            </w:tcBorders>
            <w:vAlign w:val="top"/>
          </w:tcPr>
          <w:p w14:paraId="5744B910">
            <w:pPr>
              <w:spacing w:line="360" w:lineRule="auto"/>
              <w:rPr>
                <w:rFonts w:ascii="Arial"/>
                <w:sz w:val="21"/>
                <w:highlight w:val="none"/>
              </w:rPr>
            </w:pPr>
          </w:p>
          <w:p w14:paraId="6A7A2111">
            <w:pPr>
              <w:spacing w:line="360" w:lineRule="auto"/>
              <w:rPr>
                <w:rFonts w:ascii="Arial"/>
                <w:sz w:val="21"/>
                <w:highlight w:val="none"/>
              </w:rPr>
            </w:pPr>
          </w:p>
          <w:p w14:paraId="146C7D30">
            <w:pPr>
              <w:pStyle w:val="12"/>
              <w:spacing w:before="58" w:line="360" w:lineRule="auto"/>
              <w:ind w:left="128" w:right="119" w:hanging="3"/>
              <w:rPr>
                <w:sz w:val="18"/>
                <w:szCs w:val="18"/>
                <w:highlight w:val="none"/>
              </w:rPr>
            </w:pPr>
            <w:r>
              <w:rPr>
                <w:spacing w:val="-2"/>
                <w:sz w:val="18"/>
                <w:szCs w:val="18"/>
                <w:highlight w:val="none"/>
              </w:rPr>
              <w:t>校青协、</w:t>
            </w:r>
            <w:r>
              <w:rPr>
                <w:spacing w:val="-3"/>
                <w:sz w:val="18"/>
                <w:szCs w:val="18"/>
                <w:highlight w:val="none"/>
              </w:rPr>
              <w:t>红会主席</w:t>
            </w:r>
          </w:p>
        </w:tc>
        <w:tc>
          <w:tcPr>
            <w:tcW w:w="1170" w:type="dxa"/>
            <w:tcBorders>
              <w:top w:val="single" w:color="000000" w:sz="4" w:space="0"/>
            </w:tcBorders>
            <w:vAlign w:val="top"/>
          </w:tcPr>
          <w:p w14:paraId="60EE8CEA">
            <w:pPr>
              <w:spacing w:line="360" w:lineRule="auto"/>
              <w:rPr>
                <w:rFonts w:ascii="Arial"/>
                <w:sz w:val="21"/>
                <w:highlight w:val="none"/>
              </w:rPr>
            </w:pPr>
          </w:p>
          <w:p w14:paraId="4B8D4CDF">
            <w:pPr>
              <w:pStyle w:val="12"/>
              <w:spacing w:before="59" w:line="360" w:lineRule="auto"/>
              <w:ind w:left="140" w:right="132"/>
              <w:jc w:val="both"/>
              <w:rPr>
                <w:sz w:val="18"/>
                <w:szCs w:val="18"/>
                <w:highlight w:val="none"/>
              </w:rPr>
            </w:pPr>
            <w:r>
              <w:rPr>
                <w:spacing w:val="-2"/>
                <w:sz w:val="18"/>
                <w:szCs w:val="18"/>
                <w:highlight w:val="none"/>
              </w:rPr>
              <w:t>校广播台长新闻社社长艺术团团长</w:t>
            </w:r>
          </w:p>
        </w:tc>
        <w:tc>
          <w:tcPr>
            <w:tcW w:w="1349" w:type="dxa"/>
            <w:tcBorders>
              <w:top w:val="single" w:color="000000" w:sz="4" w:space="0"/>
            </w:tcBorders>
            <w:vAlign w:val="top"/>
          </w:tcPr>
          <w:p w14:paraId="19436751">
            <w:pPr>
              <w:spacing w:line="360" w:lineRule="auto"/>
              <w:rPr>
                <w:rFonts w:ascii="Arial"/>
                <w:sz w:val="21"/>
                <w:highlight w:val="none"/>
              </w:rPr>
            </w:pPr>
          </w:p>
        </w:tc>
        <w:tc>
          <w:tcPr>
            <w:tcW w:w="859" w:type="dxa"/>
            <w:tcBorders>
              <w:top w:val="single" w:color="000000" w:sz="4" w:space="0"/>
            </w:tcBorders>
            <w:vAlign w:val="top"/>
          </w:tcPr>
          <w:p w14:paraId="3C407C80">
            <w:pPr>
              <w:spacing w:line="360" w:lineRule="auto"/>
              <w:rPr>
                <w:rFonts w:ascii="Arial"/>
                <w:sz w:val="21"/>
                <w:highlight w:val="none"/>
              </w:rPr>
            </w:pPr>
          </w:p>
          <w:p w14:paraId="1899EFDE">
            <w:pPr>
              <w:spacing w:line="360" w:lineRule="auto"/>
              <w:rPr>
                <w:rFonts w:ascii="Arial"/>
                <w:sz w:val="21"/>
                <w:highlight w:val="none"/>
              </w:rPr>
            </w:pPr>
          </w:p>
          <w:p w14:paraId="4AA8BFF5">
            <w:pPr>
              <w:spacing w:line="360" w:lineRule="auto"/>
              <w:rPr>
                <w:rFonts w:ascii="Arial"/>
                <w:sz w:val="21"/>
                <w:highlight w:val="none"/>
              </w:rPr>
            </w:pPr>
          </w:p>
          <w:p w14:paraId="39B149FC">
            <w:pPr>
              <w:pStyle w:val="12"/>
              <w:spacing w:before="59" w:line="360" w:lineRule="auto"/>
              <w:ind w:left="356"/>
              <w:rPr>
                <w:sz w:val="18"/>
                <w:szCs w:val="18"/>
                <w:highlight w:val="none"/>
              </w:rPr>
            </w:pPr>
            <w:r>
              <w:rPr>
                <w:b/>
                <w:bCs/>
                <w:spacing w:val="-7"/>
                <w:sz w:val="18"/>
                <w:szCs w:val="18"/>
                <w:highlight w:val="none"/>
              </w:rPr>
              <w:t>18</w:t>
            </w:r>
          </w:p>
        </w:tc>
      </w:tr>
      <w:tr w14:paraId="793CBF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6" w:hRule="atLeast"/>
        </w:trPr>
        <w:tc>
          <w:tcPr>
            <w:tcW w:w="731" w:type="dxa"/>
            <w:vAlign w:val="top"/>
          </w:tcPr>
          <w:p w14:paraId="17630906">
            <w:pPr>
              <w:spacing w:line="360" w:lineRule="auto"/>
              <w:rPr>
                <w:rFonts w:ascii="Arial"/>
                <w:sz w:val="21"/>
                <w:highlight w:val="none"/>
              </w:rPr>
            </w:pPr>
          </w:p>
          <w:p w14:paraId="2C6B6492">
            <w:pPr>
              <w:spacing w:line="360" w:lineRule="auto"/>
              <w:rPr>
                <w:rFonts w:ascii="Arial"/>
                <w:sz w:val="21"/>
                <w:highlight w:val="none"/>
              </w:rPr>
            </w:pPr>
          </w:p>
          <w:p w14:paraId="666BDB6A">
            <w:pPr>
              <w:spacing w:line="360" w:lineRule="auto"/>
              <w:rPr>
                <w:rFonts w:ascii="Arial"/>
                <w:sz w:val="21"/>
                <w:highlight w:val="none"/>
              </w:rPr>
            </w:pPr>
          </w:p>
          <w:p w14:paraId="0534F261">
            <w:pPr>
              <w:pStyle w:val="12"/>
              <w:spacing w:before="58" w:line="360" w:lineRule="auto"/>
              <w:ind w:left="280"/>
              <w:rPr>
                <w:sz w:val="18"/>
                <w:szCs w:val="18"/>
                <w:highlight w:val="none"/>
              </w:rPr>
            </w:pPr>
            <w:r>
              <w:rPr>
                <w:b/>
                <w:bCs/>
                <w:spacing w:val="-2"/>
                <w:sz w:val="18"/>
                <w:szCs w:val="18"/>
                <w:highlight w:val="none"/>
              </w:rPr>
              <w:t>三</w:t>
            </w:r>
          </w:p>
        </w:tc>
        <w:tc>
          <w:tcPr>
            <w:tcW w:w="847" w:type="dxa"/>
            <w:vAlign w:val="top"/>
          </w:tcPr>
          <w:p w14:paraId="54D5FAEA">
            <w:pPr>
              <w:pStyle w:val="12"/>
              <w:spacing w:before="68" w:line="360" w:lineRule="auto"/>
              <w:ind w:left="157"/>
              <w:rPr>
                <w:sz w:val="18"/>
                <w:szCs w:val="18"/>
                <w:highlight w:val="none"/>
              </w:rPr>
            </w:pPr>
            <w:r>
              <w:rPr>
                <w:spacing w:val="-2"/>
                <w:sz w:val="18"/>
                <w:szCs w:val="18"/>
                <w:highlight w:val="none"/>
              </w:rPr>
              <w:t>校团委</w:t>
            </w:r>
          </w:p>
          <w:p w14:paraId="5CB68CA7">
            <w:pPr>
              <w:pStyle w:val="12"/>
              <w:spacing w:before="96" w:line="360" w:lineRule="auto"/>
              <w:ind w:left="160"/>
              <w:rPr>
                <w:sz w:val="18"/>
                <w:szCs w:val="18"/>
                <w:highlight w:val="none"/>
              </w:rPr>
            </w:pPr>
            <w:r>
              <w:rPr>
                <w:spacing w:val="-3"/>
                <w:sz w:val="18"/>
                <w:szCs w:val="18"/>
                <w:highlight w:val="none"/>
              </w:rPr>
              <w:t>正部长</w:t>
            </w:r>
          </w:p>
          <w:p w14:paraId="4E6439DE">
            <w:pPr>
              <w:pStyle w:val="12"/>
              <w:spacing w:before="98" w:line="360" w:lineRule="auto"/>
              <w:ind w:left="172"/>
              <w:rPr>
                <w:sz w:val="18"/>
                <w:szCs w:val="18"/>
                <w:highlight w:val="none"/>
              </w:rPr>
            </w:pPr>
            <w:r>
              <w:rPr>
                <w:spacing w:val="-6"/>
                <w:sz w:val="18"/>
                <w:szCs w:val="18"/>
                <w:highlight w:val="none"/>
              </w:rPr>
              <w:t>团总支</w:t>
            </w:r>
          </w:p>
          <w:p w14:paraId="4C9D1E0F">
            <w:pPr>
              <w:pStyle w:val="12"/>
              <w:spacing w:before="97" w:line="360" w:lineRule="auto"/>
              <w:ind w:left="248"/>
              <w:rPr>
                <w:sz w:val="18"/>
                <w:szCs w:val="18"/>
                <w:highlight w:val="none"/>
              </w:rPr>
            </w:pPr>
            <w:r>
              <w:rPr>
                <w:spacing w:val="-3"/>
                <w:sz w:val="18"/>
                <w:szCs w:val="18"/>
                <w:highlight w:val="none"/>
              </w:rPr>
              <w:t>书记</w:t>
            </w:r>
          </w:p>
          <w:p w14:paraId="152CAA8F">
            <w:pPr>
              <w:pStyle w:val="12"/>
              <w:spacing w:before="98" w:line="360" w:lineRule="auto"/>
              <w:ind w:left="172"/>
              <w:rPr>
                <w:sz w:val="18"/>
                <w:szCs w:val="18"/>
                <w:highlight w:val="none"/>
              </w:rPr>
            </w:pPr>
            <w:r>
              <w:rPr>
                <w:spacing w:val="-6"/>
                <w:sz w:val="18"/>
                <w:szCs w:val="18"/>
                <w:highlight w:val="none"/>
              </w:rPr>
              <w:t>团总支</w:t>
            </w:r>
          </w:p>
          <w:p w14:paraId="0B87A761">
            <w:pPr>
              <w:pStyle w:val="12"/>
              <w:spacing w:before="98" w:line="360" w:lineRule="auto"/>
              <w:ind w:left="160"/>
              <w:rPr>
                <w:sz w:val="18"/>
                <w:szCs w:val="18"/>
                <w:highlight w:val="none"/>
              </w:rPr>
            </w:pPr>
            <w:r>
              <w:rPr>
                <w:spacing w:val="-3"/>
                <w:sz w:val="18"/>
                <w:szCs w:val="18"/>
                <w:highlight w:val="none"/>
              </w:rPr>
              <w:t>副书记</w:t>
            </w:r>
          </w:p>
        </w:tc>
        <w:tc>
          <w:tcPr>
            <w:tcW w:w="900" w:type="dxa"/>
            <w:vAlign w:val="top"/>
          </w:tcPr>
          <w:p w14:paraId="0509F8D1">
            <w:pPr>
              <w:pStyle w:val="12"/>
              <w:spacing w:before="224" w:line="360" w:lineRule="auto"/>
              <w:ind w:left="183"/>
              <w:rPr>
                <w:sz w:val="18"/>
                <w:szCs w:val="18"/>
                <w:highlight w:val="none"/>
              </w:rPr>
            </w:pPr>
            <w:r>
              <w:rPr>
                <w:spacing w:val="-2"/>
                <w:sz w:val="18"/>
                <w:szCs w:val="18"/>
                <w:highlight w:val="none"/>
              </w:rPr>
              <w:t>校学生</w:t>
            </w:r>
          </w:p>
          <w:p w14:paraId="2A7DDC18">
            <w:pPr>
              <w:pStyle w:val="12"/>
              <w:spacing w:before="97" w:line="360" w:lineRule="auto"/>
              <w:ind w:left="182"/>
              <w:rPr>
                <w:sz w:val="18"/>
                <w:szCs w:val="18"/>
                <w:highlight w:val="none"/>
              </w:rPr>
            </w:pPr>
            <w:r>
              <w:rPr>
                <w:spacing w:val="-2"/>
                <w:sz w:val="18"/>
                <w:szCs w:val="18"/>
                <w:highlight w:val="none"/>
              </w:rPr>
              <w:t>会民主</w:t>
            </w:r>
          </w:p>
          <w:p w14:paraId="666958C1">
            <w:pPr>
              <w:pStyle w:val="12"/>
              <w:spacing w:before="98" w:line="360" w:lineRule="auto"/>
              <w:ind w:left="182"/>
              <w:rPr>
                <w:sz w:val="18"/>
                <w:szCs w:val="18"/>
                <w:highlight w:val="none"/>
              </w:rPr>
            </w:pPr>
            <w:r>
              <w:rPr>
                <w:spacing w:val="-2"/>
                <w:sz w:val="18"/>
                <w:szCs w:val="18"/>
                <w:highlight w:val="none"/>
              </w:rPr>
              <w:t>评议合</w:t>
            </w:r>
          </w:p>
          <w:p w14:paraId="2A220D21">
            <w:pPr>
              <w:pStyle w:val="12"/>
              <w:spacing w:before="96" w:line="360" w:lineRule="auto"/>
              <w:ind w:left="183"/>
              <w:rPr>
                <w:sz w:val="18"/>
                <w:szCs w:val="18"/>
                <w:highlight w:val="none"/>
              </w:rPr>
            </w:pPr>
            <w:r>
              <w:rPr>
                <w:spacing w:val="-2"/>
                <w:sz w:val="18"/>
                <w:szCs w:val="18"/>
                <w:highlight w:val="none"/>
              </w:rPr>
              <w:t>格的负</w:t>
            </w:r>
          </w:p>
          <w:p w14:paraId="5A6AEC4D">
            <w:pPr>
              <w:pStyle w:val="12"/>
              <w:spacing w:before="98" w:line="360" w:lineRule="auto"/>
              <w:ind w:left="278"/>
              <w:rPr>
                <w:sz w:val="18"/>
                <w:szCs w:val="18"/>
                <w:highlight w:val="none"/>
              </w:rPr>
            </w:pPr>
            <w:r>
              <w:rPr>
                <w:spacing w:val="-4"/>
                <w:sz w:val="18"/>
                <w:szCs w:val="18"/>
                <w:highlight w:val="none"/>
              </w:rPr>
              <w:t>责人</w:t>
            </w:r>
          </w:p>
        </w:tc>
        <w:tc>
          <w:tcPr>
            <w:tcW w:w="832" w:type="dxa"/>
            <w:vAlign w:val="top"/>
          </w:tcPr>
          <w:p w14:paraId="51D0E185">
            <w:pPr>
              <w:spacing w:line="360" w:lineRule="auto"/>
              <w:rPr>
                <w:rFonts w:ascii="Arial"/>
                <w:sz w:val="21"/>
                <w:highlight w:val="none"/>
              </w:rPr>
            </w:pPr>
          </w:p>
          <w:p w14:paraId="62C27CFB">
            <w:pPr>
              <w:pStyle w:val="12"/>
              <w:spacing w:before="58" w:line="360" w:lineRule="auto"/>
              <w:ind w:left="167"/>
              <w:rPr>
                <w:sz w:val="18"/>
                <w:szCs w:val="18"/>
                <w:highlight w:val="none"/>
              </w:rPr>
            </w:pPr>
            <w:r>
              <w:rPr>
                <w:spacing w:val="-6"/>
                <w:sz w:val="18"/>
                <w:szCs w:val="18"/>
                <w:highlight w:val="none"/>
              </w:rPr>
              <w:t>国旗护</w:t>
            </w:r>
          </w:p>
          <w:p w14:paraId="40BD83F2">
            <w:pPr>
              <w:pStyle w:val="12"/>
              <w:spacing w:before="96" w:line="360" w:lineRule="auto"/>
              <w:ind w:left="151"/>
              <w:rPr>
                <w:sz w:val="18"/>
                <w:szCs w:val="18"/>
                <w:highlight w:val="none"/>
              </w:rPr>
            </w:pPr>
            <w:r>
              <w:rPr>
                <w:spacing w:val="-2"/>
                <w:sz w:val="18"/>
                <w:szCs w:val="18"/>
                <w:highlight w:val="none"/>
              </w:rPr>
              <w:t>卫队副</w:t>
            </w:r>
          </w:p>
          <w:p w14:paraId="1C871F29">
            <w:pPr>
              <w:pStyle w:val="12"/>
              <w:spacing w:before="98" w:line="360" w:lineRule="auto"/>
              <w:ind w:left="252"/>
              <w:rPr>
                <w:sz w:val="18"/>
                <w:szCs w:val="18"/>
                <w:highlight w:val="none"/>
              </w:rPr>
            </w:pPr>
            <w:r>
              <w:rPr>
                <w:spacing w:val="-6"/>
                <w:sz w:val="18"/>
                <w:szCs w:val="18"/>
                <w:highlight w:val="none"/>
              </w:rPr>
              <w:t>队长</w:t>
            </w:r>
          </w:p>
        </w:tc>
        <w:tc>
          <w:tcPr>
            <w:tcW w:w="1087" w:type="dxa"/>
            <w:vAlign w:val="top"/>
          </w:tcPr>
          <w:p w14:paraId="268F9457">
            <w:pPr>
              <w:spacing w:line="360" w:lineRule="auto"/>
              <w:rPr>
                <w:rFonts w:ascii="Arial"/>
                <w:sz w:val="21"/>
                <w:highlight w:val="none"/>
              </w:rPr>
            </w:pPr>
          </w:p>
          <w:p w14:paraId="49052E51">
            <w:pPr>
              <w:spacing w:line="360" w:lineRule="auto"/>
              <w:rPr>
                <w:rFonts w:ascii="Arial"/>
                <w:sz w:val="21"/>
                <w:highlight w:val="none"/>
              </w:rPr>
            </w:pPr>
          </w:p>
          <w:p w14:paraId="4CD0C8C4">
            <w:pPr>
              <w:spacing w:line="360" w:lineRule="auto"/>
              <w:rPr>
                <w:rFonts w:ascii="Arial"/>
                <w:sz w:val="21"/>
                <w:highlight w:val="none"/>
              </w:rPr>
            </w:pPr>
          </w:p>
          <w:p w14:paraId="24226246">
            <w:pPr>
              <w:pStyle w:val="12"/>
              <w:spacing w:before="59" w:line="360" w:lineRule="auto"/>
              <w:ind w:left="192"/>
              <w:rPr>
                <w:sz w:val="18"/>
                <w:szCs w:val="18"/>
                <w:highlight w:val="none"/>
              </w:rPr>
            </w:pPr>
            <w:r>
              <w:rPr>
                <w:spacing w:val="-2"/>
                <w:sz w:val="18"/>
                <w:szCs w:val="18"/>
                <w:highlight w:val="none"/>
              </w:rPr>
              <w:t>兼班助理</w:t>
            </w:r>
          </w:p>
        </w:tc>
        <w:tc>
          <w:tcPr>
            <w:tcW w:w="962" w:type="dxa"/>
            <w:vAlign w:val="top"/>
          </w:tcPr>
          <w:p w14:paraId="4544512F">
            <w:pPr>
              <w:spacing w:line="360" w:lineRule="auto"/>
              <w:rPr>
                <w:rFonts w:ascii="Arial"/>
                <w:sz w:val="21"/>
                <w:highlight w:val="none"/>
              </w:rPr>
            </w:pPr>
          </w:p>
          <w:p w14:paraId="5F25CF67">
            <w:pPr>
              <w:pStyle w:val="12"/>
              <w:spacing w:before="59" w:line="360" w:lineRule="auto"/>
              <w:ind w:left="125"/>
              <w:rPr>
                <w:sz w:val="18"/>
                <w:szCs w:val="18"/>
                <w:highlight w:val="none"/>
              </w:rPr>
            </w:pPr>
            <w:r>
              <w:rPr>
                <w:spacing w:val="-7"/>
                <w:sz w:val="18"/>
                <w:szCs w:val="18"/>
                <w:highlight w:val="none"/>
              </w:rPr>
              <w:t>校青协、</w:t>
            </w:r>
          </w:p>
          <w:p w14:paraId="1ED7C75F">
            <w:pPr>
              <w:pStyle w:val="12"/>
              <w:spacing w:before="98" w:line="360" w:lineRule="auto"/>
              <w:ind w:left="397" w:right="119" w:hanging="268"/>
              <w:rPr>
                <w:sz w:val="18"/>
                <w:szCs w:val="18"/>
                <w:highlight w:val="none"/>
              </w:rPr>
            </w:pPr>
            <w:r>
              <w:rPr>
                <w:spacing w:val="-3"/>
                <w:sz w:val="18"/>
                <w:szCs w:val="18"/>
                <w:highlight w:val="none"/>
              </w:rPr>
              <w:t>红会副主</w:t>
            </w:r>
            <w:r>
              <w:rPr>
                <w:sz w:val="18"/>
                <w:szCs w:val="18"/>
                <w:highlight w:val="none"/>
              </w:rPr>
              <w:t>席</w:t>
            </w:r>
          </w:p>
        </w:tc>
        <w:tc>
          <w:tcPr>
            <w:tcW w:w="1170" w:type="dxa"/>
            <w:vAlign w:val="top"/>
          </w:tcPr>
          <w:p w14:paraId="1E01A09A">
            <w:pPr>
              <w:pStyle w:val="12"/>
              <w:spacing w:before="68" w:line="360" w:lineRule="auto"/>
              <w:ind w:left="140"/>
              <w:rPr>
                <w:sz w:val="18"/>
                <w:szCs w:val="18"/>
                <w:highlight w:val="none"/>
              </w:rPr>
            </w:pPr>
            <w:r>
              <w:rPr>
                <w:spacing w:val="-2"/>
                <w:sz w:val="18"/>
                <w:szCs w:val="18"/>
                <w:highlight w:val="none"/>
              </w:rPr>
              <w:t>校广播台副</w:t>
            </w:r>
          </w:p>
          <w:p w14:paraId="131A9F55">
            <w:pPr>
              <w:pStyle w:val="12"/>
              <w:spacing w:before="97" w:line="360" w:lineRule="auto"/>
              <w:ind w:left="425"/>
              <w:rPr>
                <w:sz w:val="18"/>
                <w:szCs w:val="18"/>
                <w:highlight w:val="none"/>
              </w:rPr>
            </w:pPr>
            <w:r>
              <w:rPr>
                <w:spacing w:val="-6"/>
                <w:sz w:val="18"/>
                <w:szCs w:val="18"/>
                <w:highlight w:val="none"/>
              </w:rPr>
              <w:t>台长</w:t>
            </w:r>
          </w:p>
          <w:p w14:paraId="76F13EE9">
            <w:pPr>
              <w:pStyle w:val="12"/>
              <w:spacing w:before="95" w:line="360" w:lineRule="auto"/>
              <w:ind w:left="140"/>
              <w:rPr>
                <w:sz w:val="18"/>
                <w:szCs w:val="18"/>
                <w:highlight w:val="none"/>
              </w:rPr>
            </w:pPr>
            <w:r>
              <w:rPr>
                <w:spacing w:val="-2"/>
                <w:sz w:val="18"/>
                <w:szCs w:val="18"/>
                <w:highlight w:val="none"/>
              </w:rPr>
              <w:t>新闻社副社</w:t>
            </w:r>
          </w:p>
          <w:p w14:paraId="561064F7">
            <w:pPr>
              <w:pStyle w:val="12"/>
              <w:spacing w:before="98" w:line="360" w:lineRule="auto"/>
              <w:ind w:left="500"/>
              <w:rPr>
                <w:sz w:val="18"/>
                <w:szCs w:val="18"/>
                <w:highlight w:val="none"/>
              </w:rPr>
            </w:pPr>
            <w:r>
              <w:rPr>
                <w:sz w:val="18"/>
                <w:szCs w:val="18"/>
                <w:highlight w:val="none"/>
              </w:rPr>
              <w:t>长</w:t>
            </w:r>
          </w:p>
          <w:p w14:paraId="4D0C7616">
            <w:pPr>
              <w:pStyle w:val="12"/>
              <w:spacing w:before="93" w:line="360" w:lineRule="auto"/>
              <w:ind w:left="140"/>
              <w:rPr>
                <w:sz w:val="18"/>
                <w:szCs w:val="18"/>
                <w:highlight w:val="none"/>
              </w:rPr>
            </w:pPr>
            <w:r>
              <w:rPr>
                <w:spacing w:val="-2"/>
                <w:sz w:val="18"/>
                <w:szCs w:val="18"/>
                <w:highlight w:val="none"/>
              </w:rPr>
              <w:t>校艺术团副</w:t>
            </w:r>
          </w:p>
          <w:p w14:paraId="33F135BE">
            <w:pPr>
              <w:pStyle w:val="12"/>
              <w:spacing w:before="98" w:line="360" w:lineRule="auto"/>
              <w:ind w:left="427"/>
              <w:rPr>
                <w:sz w:val="18"/>
                <w:szCs w:val="18"/>
                <w:highlight w:val="none"/>
              </w:rPr>
            </w:pPr>
            <w:r>
              <w:rPr>
                <w:spacing w:val="-6"/>
                <w:sz w:val="18"/>
                <w:szCs w:val="18"/>
                <w:highlight w:val="none"/>
              </w:rPr>
              <w:t>团长</w:t>
            </w:r>
          </w:p>
        </w:tc>
        <w:tc>
          <w:tcPr>
            <w:tcW w:w="1349" w:type="dxa"/>
            <w:vAlign w:val="top"/>
          </w:tcPr>
          <w:p w14:paraId="657ACB21">
            <w:pPr>
              <w:spacing w:line="360" w:lineRule="auto"/>
              <w:rPr>
                <w:rFonts w:ascii="Arial"/>
                <w:sz w:val="21"/>
                <w:highlight w:val="none"/>
              </w:rPr>
            </w:pPr>
          </w:p>
        </w:tc>
        <w:tc>
          <w:tcPr>
            <w:tcW w:w="859" w:type="dxa"/>
            <w:vAlign w:val="top"/>
          </w:tcPr>
          <w:p w14:paraId="35384126">
            <w:pPr>
              <w:spacing w:line="360" w:lineRule="auto"/>
              <w:rPr>
                <w:rFonts w:ascii="Arial"/>
                <w:sz w:val="21"/>
                <w:highlight w:val="none"/>
              </w:rPr>
            </w:pPr>
          </w:p>
          <w:p w14:paraId="55DF0DB7">
            <w:pPr>
              <w:spacing w:line="360" w:lineRule="auto"/>
              <w:rPr>
                <w:rFonts w:ascii="Arial"/>
                <w:sz w:val="21"/>
                <w:highlight w:val="none"/>
              </w:rPr>
            </w:pPr>
          </w:p>
          <w:p w14:paraId="7470DCAA">
            <w:pPr>
              <w:spacing w:line="360" w:lineRule="auto"/>
              <w:rPr>
                <w:rFonts w:ascii="Arial"/>
                <w:sz w:val="21"/>
                <w:highlight w:val="none"/>
              </w:rPr>
            </w:pPr>
          </w:p>
          <w:p w14:paraId="506ED081">
            <w:pPr>
              <w:pStyle w:val="12"/>
              <w:spacing w:before="59" w:line="360" w:lineRule="auto"/>
              <w:ind w:left="356"/>
              <w:rPr>
                <w:sz w:val="18"/>
                <w:szCs w:val="18"/>
                <w:highlight w:val="none"/>
              </w:rPr>
            </w:pPr>
            <w:r>
              <w:rPr>
                <w:b/>
                <w:bCs/>
                <w:spacing w:val="-7"/>
                <w:sz w:val="18"/>
                <w:szCs w:val="18"/>
                <w:highlight w:val="none"/>
              </w:rPr>
              <w:t>15</w:t>
            </w:r>
          </w:p>
        </w:tc>
      </w:tr>
      <w:tr w14:paraId="25A56E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4" w:hRule="atLeast"/>
        </w:trPr>
        <w:tc>
          <w:tcPr>
            <w:tcW w:w="731" w:type="dxa"/>
            <w:vAlign w:val="top"/>
          </w:tcPr>
          <w:p w14:paraId="3A5A37C9">
            <w:pPr>
              <w:spacing w:line="360" w:lineRule="auto"/>
              <w:rPr>
                <w:rFonts w:ascii="Arial"/>
                <w:sz w:val="21"/>
                <w:highlight w:val="none"/>
              </w:rPr>
            </w:pPr>
          </w:p>
          <w:p w14:paraId="3B1C5E1B">
            <w:pPr>
              <w:spacing w:line="360" w:lineRule="auto"/>
              <w:rPr>
                <w:rFonts w:ascii="Arial"/>
                <w:sz w:val="21"/>
                <w:highlight w:val="none"/>
              </w:rPr>
            </w:pPr>
          </w:p>
          <w:p w14:paraId="6A49A258">
            <w:pPr>
              <w:spacing w:line="360" w:lineRule="auto"/>
              <w:rPr>
                <w:rFonts w:ascii="Arial"/>
                <w:sz w:val="21"/>
                <w:highlight w:val="none"/>
              </w:rPr>
            </w:pPr>
          </w:p>
          <w:p w14:paraId="13065EE4">
            <w:pPr>
              <w:spacing w:line="360" w:lineRule="auto"/>
              <w:rPr>
                <w:rFonts w:ascii="Arial"/>
                <w:sz w:val="21"/>
                <w:highlight w:val="none"/>
              </w:rPr>
            </w:pPr>
          </w:p>
          <w:p w14:paraId="03F8F812">
            <w:pPr>
              <w:spacing w:line="360" w:lineRule="auto"/>
              <w:rPr>
                <w:rFonts w:ascii="Arial"/>
                <w:sz w:val="21"/>
                <w:highlight w:val="none"/>
              </w:rPr>
            </w:pPr>
          </w:p>
          <w:p w14:paraId="2386A3EF">
            <w:pPr>
              <w:pStyle w:val="12"/>
              <w:spacing w:before="59" w:line="360" w:lineRule="auto"/>
              <w:ind w:left="297"/>
              <w:rPr>
                <w:sz w:val="18"/>
                <w:szCs w:val="18"/>
                <w:highlight w:val="none"/>
              </w:rPr>
            </w:pPr>
            <w:r>
              <w:rPr>
                <w:b/>
                <w:bCs/>
                <w:spacing w:val="-2"/>
                <w:sz w:val="18"/>
                <w:szCs w:val="18"/>
                <w:highlight w:val="none"/>
              </w:rPr>
              <w:t>四</w:t>
            </w:r>
          </w:p>
        </w:tc>
        <w:tc>
          <w:tcPr>
            <w:tcW w:w="847" w:type="dxa"/>
            <w:vAlign w:val="top"/>
          </w:tcPr>
          <w:p w14:paraId="4C093B7D">
            <w:pPr>
              <w:spacing w:line="360" w:lineRule="auto"/>
              <w:rPr>
                <w:rFonts w:ascii="Arial"/>
                <w:sz w:val="21"/>
                <w:highlight w:val="none"/>
              </w:rPr>
            </w:pPr>
          </w:p>
          <w:p w14:paraId="67996729">
            <w:pPr>
              <w:pStyle w:val="12"/>
              <w:spacing w:before="58" w:line="360" w:lineRule="auto"/>
              <w:ind w:left="157"/>
              <w:rPr>
                <w:sz w:val="18"/>
                <w:szCs w:val="18"/>
                <w:highlight w:val="none"/>
              </w:rPr>
            </w:pPr>
            <w:r>
              <w:rPr>
                <w:spacing w:val="-2"/>
                <w:sz w:val="18"/>
                <w:szCs w:val="18"/>
                <w:highlight w:val="none"/>
              </w:rPr>
              <w:t>校团委</w:t>
            </w:r>
          </w:p>
          <w:p w14:paraId="08756B40">
            <w:pPr>
              <w:pStyle w:val="12"/>
              <w:spacing w:before="96" w:line="360" w:lineRule="auto"/>
              <w:ind w:left="160"/>
              <w:rPr>
                <w:sz w:val="18"/>
                <w:szCs w:val="18"/>
                <w:highlight w:val="none"/>
              </w:rPr>
            </w:pPr>
            <w:r>
              <w:rPr>
                <w:spacing w:val="-3"/>
                <w:sz w:val="18"/>
                <w:szCs w:val="18"/>
                <w:highlight w:val="none"/>
              </w:rPr>
              <w:t>副部长</w:t>
            </w:r>
          </w:p>
          <w:p w14:paraId="06B5164C">
            <w:pPr>
              <w:pStyle w:val="12"/>
              <w:spacing w:before="98" w:line="360" w:lineRule="auto"/>
              <w:ind w:left="168"/>
              <w:rPr>
                <w:sz w:val="18"/>
                <w:szCs w:val="18"/>
                <w:highlight w:val="none"/>
              </w:rPr>
            </w:pPr>
            <w:r>
              <w:rPr>
                <w:spacing w:val="-5"/>
                <w:sz w:val="18"/>
                <w:szCs w:val="18"/>
                <w:highlight w:val="none"/>
              </w:rPr>
              <w:t>院团总</w:t>
            </w:r>
          </w:p>
          <w:p w14:paraId="79F4E882">
            <w:pPr>
              <w:pStyle w:val="12"/>
              <w:spacing w:before="96" w:line="360" w:lineRule="auto"/>
              <w:ind w:left="157"/>
              <w:rPr>
                <w:sz w:val="18"/>
                <w:szCs w:val="18"/>
                <w:highlight w:val="none"/>
              </w:rPr>
            </w:pPr>
            <w:r>
              <w:rPr>
                <w:spacing w:val="-2"/>
                <w:sz w:val="18"/>
                <w:szCs w:val="18"/>
                <w:highlight w:val="none"/>
              </w:rPr>
              <w:t>支正部</w:t>
            </w:r>
          </w:p>
          <w:p w14:paraId="1FB2998D">
            <w:pPr>
              <w:pStyle w:val="12"/>
              <w:spacing w:before="98" w:line="360" w:lineRule="auto"/>
              <w:ind w:left="337"/>
              <w:rPr>
                <w:sz w:val="18"/>
                <w:szCs w:val="18"/>
                <w:highlight w:val="none"/>
              </w:rPr>
            </w:pPr>
            <w:r>
              <w:rPr>
                <w:sz w:val="18"/>
                <w:szCs w:val="18"/>
                <w:highlight w:val="none"/>
              </w:rPr>
              <w:t>长</w:t>
            </w:r>
          </w:p>
          <w:p w14:paraId="0347DA3C">
            <w:pPr>
              <w:pStyle w:val="12"/>
              <w:spacing w:before="94" w:line="360" w:lineRule="auto"/>
              <w:ind w:left="157"/>
              <w:rPr>
                <w:sz w:val="18"/>
                <w:szCs w:val="18"/>
                <w:highlight w:val="none"/>
              </w:rPr>
            </w:pPr>
            <w:r>
              <w:rPr>
                <w:spacing w:val="-2"/>
                <w:sz w:val="18"/>
                <w:szCs w:val="18"/>
                <w:highlight w:val="none"/>
              </w:rPr>
              <w:t>党支部</w:t>
            </w:r>
          </w:p>
          <w:p w14:paraId="7B9F805A">
            <w:pPr>
              <w:pStyle w:val="12"/>
              <w:spacing w:before="98" w:line="360" w:lineRule="auto"/>
              <w:ind w:left="248"/>
              <w:rPr>
                <w:sz w:val="18"/>
                <w:szCs w:val="18"/>
                <w:highlight w:val="none"/>
              </w:rPr>
            </w:pPr>
            <w:r>
              <w:rPr>
                <w:spacing w:val="-3"/>
                <w:sz w:val="18"/>
                <w:szCs w:val="18"/>
                <w:highlight w:val="none"/>
              </w:rPr>
              <w:t>书记</w:t>
            </w:r>
          </w:p>
        </w:tc>
        <w:tc>
          <w:tcPr>
            <w:tcW w:w="900" w:type="dxa"/>
            <w:vAlign w:val="top"/>
          </w:tcPr>
          <w:p w14:paraId="65C32835">
            <w:pPr>
              <w:spacing w:line="360" w:lineRule="auto"/>
              <w:rPr>
                <w:rFonts w:ascii="Arial"/>
                <w:sz w:val="21"/>
                <w:highlight w:val="none"/>
              </w:rPr>
            </w:pPr>
          </w:p>
          <w:p w14:paraId="11633680">
            <w:pPr>
              <w:spacing w:line="360" w:lineRule="auto"/>
              <w:rPr>
                <w:rFonts w:ascii="Arial"/>
                <w:sz w:val="21"/>
                <w:highlight w:val="none"/>
              </w:rPr>
            </w:pPr>
          </w:p>
          <w:p w14:paraId="4C628BB5">
            <w:pPr>
              <w:pStyle w:val="12"/>
              <w:spacing w:before="58" w:line="360" w:lineRule="auto"/>
              <w:ind w:left="195"/>
              <w:rPr>
                <w:sz w:val="18"/>
                <w:szCs w:val="18"/>
                <w:highlight w:val="none"/>
              </w:rPr>
            </w:pPr>
            <w:r>
              <w:rPr>
                <w:spacing w:val="-5"/>
                <w:sz w:val="18"/>
                <w:szCs w:val="18"/>
                <w:highlight w:val="none"/>
              </w:rPr>
              <w:t>院学生</w:t>
            </w:r>
          </w:p>
          <w:p w14:paraId="158F294C">
            <w:pPr>
              <w:pStyle w:val="12"/>
              <w:spacing w:before="97" w:line="360" w:lineRule="auto"/>
              <w:ind w:left="182"/>
              <w:rPr>
                <w:sz w:val="18"/>
                <w:szCs w:val="18"/>
                <w:highlight w:val="none"/>
              </w:rPr>
            </w:pPr>
            <w:r>
              <w:rPr>
                <w:spacing w:val="-2"/>
                <w:sz w:val="18"/>
                <w:szCs w:val="18"/>
                <w:highlight w:val="none"/>
              </w:rPr>
              <w:t>会民主</w:t>
            </w:r>
          </w:p>
          <w:p w14:paraId="45A1CE4A">
            <w:pPr>
              <w:pStyle w:val="12"/>
              <w:spacing w:before="98" w:line="360" w:lineRule="auto"/>
              <w:ind w:left="182"/>
              <w:rPr>
                <w:sz w:val="18"/>
                <w:szCs w:val="18"/>
                <w:highlight w:val="none"/>
              </w:rPr>
            </w:pPr>
            <w:r>
              <w:rPr>
                <w:spacing w:val="-2"/>
                <w:sz w:val="18"/>
                <w:szCs w:val="18"/>
                <w:highlight w:val="none"/>
              </w:rPr>
              <w:t>评议合</w:t>
            </w:r>
          </w:p>
          <w:p w14:paraId="0C22905D">
            <w:pPr>
              <w:pStyle w:val="12"/>
              <w:spacing w:before="96" w:line="360" w:lineRule="auto"/>
              <w:ind w:left="183"/>
              <w:rPr>
                <w:sz w:val="18"/>
                <w:szCs w:val="18"/>
                <w:highlight w:val="none"/>
              </w:rPr>
            </w:pPr>
            <w:r>
              <w:rPr>
                <w:spacing w:val="-2"/>
                <w:sz w:val="18"/>
                <w:szCs w:val="18"/>
                <w:highlight w:val="none"/>
              </w:rPr>
              <w:t>格的负</w:t>
            </w:r>
          </w:p>
          <w:p w14:paraId="4DA3982A">
            <w:pPr>
              <w:pStyle w:val="12"/>
              <w:spacing w:before="98" w:line="360" w:lineRule="auto"/>
              <w:ind w:left="278"/>
              <w:rPr>
                <w:sz w:val="18"/>
                <w:szCs w:val="18"/>
                <w:highlight w:val="none"/>
              </w:rPr>
            </w:pPr>
            <w:r>
              <w:rPr>
                <w:spacing w:val="-4"/>
                <w:sz w:val="18"/>
                <w:szCs w:val="18"/>
                <w:highlight w:val="none"/>
              </w:rPr>
              <w:t>责人</w:t>
            </w:r>
          </w:p>
        </w:tc>
        <w:tc>
          <w:tcPr>
            <w:tcW w:w="832" w:type="dxa"/>
            <w:vAlign w:val="top"/>
          </w:tcPr>
          <w:p w14:paraId="6F4AAC05">
            <w:pPr>
              <w:spacing w:line="360" w:lineRule="auto"/>
              <w:rPr>
                <w:rFonts w:ascii="Arial"/>
                <w:sz w:val="21"/>
                <w:highlight w:val="none"/>
              </w:rPr>
            </w:pPr>
          </w:p>
          <w:p w14:paraId="6D9D2165">
            <w:pPr>
              <w:spacing w:line="360" w:lineRule="auto"/>
              <w:rPr>
                <w:rFonts w:ascii="Arial"/>
                <w:sz w:val="21"/>
                <w:highlight w:val="none"/>
              </w:rPr>
            </w:pPr>
          </w:p>
          <w:p w14:paraId="3439F44F">
            <w:pPr>
              <w:spacing w:line="360" w:lineRule="auto"/>
              <w:rPr>
                <w:rFonts w:ascii="Arial"/>
                <w:sz w:val="21"/>
                <w:highlight w:val="none"/>
              </w:rPr>
            </w:pPr>
          </w:p>
          <w:p w14:paraId="458E1373">
            <w:pPr>
              <w:pStyle w:val="12"/>
              <w:spacing w:before="58" w:line="360" w:lineRule="auto"/>
              <w:ind w:left="151" w:right="143" w:firstLine="16"/>
              <w:jc w:val="both"/>
              <w:rPr>
                <w:sz w:val="18"/>
                <w:szCs w:val="18"/>
                <w:highlight w:val="none"/>
              </w:rPr>
            </w:pPr>
            <w:r>
              <w:rPr>
                <w:spacing w:val="-9"/>
                <w:sz w:val="18"/>
                <w:szCs w:val="18"/>
                <w:highlight w:val="none"/>
              </w:rPr>
              <w:t>国旗护</w:t>
            </w:r>
            <w:r>
              <w:rPr>
                <w:spacing w:val="-3"/>
                <w:sz w:val="18"/>
                <w:szCs w:val="18"/>
                <w:highlight w:val="none"/>
              </w:rPr>
              <w:t>卫队总</w:t>
            </w:r>
            <w:r>
              <w:rPr>
                <w:spacing w:val="-8"/>
                <w:sz w:val="18"/>
                <w:szCs w:val="18"/>
                <w:highlight w:val="none"/>
              </w:rPr>
              <w:t>指挥、</w:t>
            </w:r>
          </w:p>
          <w:p w14:paraId="6F0E7761">
            <w:pPr>
              <w:pStyle w:val="12"/>
              <w:spacing w:before="25" w:line="360" w:lineRule="auto"/>
              <w:ind w:left="150" w:right="143" w:firstLine="92"/>
              <w:rPr>
                <w:sz w:val="18"/>
                <w:szCs w:val="18"/>
                <w:highlight w:val="none"/>
              </w:rPr>
            </w:pPr>
            <w:r>
              <w:rPr>
                <w:spacing w:val="-6"/>
                <w:sz w:val="18"/>
                <w:szCs w:val="18"/>
                <w:highlight w:val="none"/>
              </w:rPr>
              <w:t>总务</w:t>
            </w:r>
            <w:r>
              <w:rPr>
                <w:spacing w:val="-3"/>
                <w:sz w:val="18"/>
                <w:szCs w:val="18"/>
                <w:highlight w:val="none"/>
              </w:rPr>
              <w:t>长、旗</w:t>
            </w:r>
            <w:r>
              <w:rPr>
                <w:spacing w:val="40"/>
                <w:sz w:val="18"/>
                <w:szCs w:val="18"/>
                <w:highlight w:val="none"/>
              </w:rPr>
              <w:t>务长</w:t>
            </w:r>
          </w:p>
        </w:tc>
        <w:tc>
          <w:tcPr>
            <w:tcW w:w="1087" w:type="dxa"/>
            <w:vAlign w:val="top"/>
          </w:tcPr>
          <w:p w14:paraId="7E35E342">
            <w:pPr>
              <w:spacing w:line="360" w:lineRule="auto"/>
              <w:rPr>
                <w:rFonts w:ascii="Arial"/>
                <w:sz w:val="21"/>
                <w:highlight w:val="none"/>
              </w:rPr>
            </w:pPr>
          </w:p>
          <w:p w14:paraId="0680061D">
            <w:pPr>
              <w:spacing w:line="360" w:lineRule="auto"/>
              <w:rPr>
                <w:rFonts w:ascii="Arial"/>
                <w:sz w:val="21"/>
                <w:highlight w:val="none"/>
              </w:rPr>
            </w:pPr>
          </w:p>
          <w:p w14:paraId="36209BB8">
            <w:pPr>
              <w:spacing w:line="360" w:lineRule="auto"/>
              <w:rPr>
                <w:rFonts w:ascii="Arial"/>
                <w:sz w:val="21"/>
                <w:highlight w:val="none"/>
              </w:rPr>
            </w:pPr>
          </w:p>
          <w:p w14:paraId="47805A06">
            <w:pPr>
              <w:spacing w:line="360" w:lineRule="auto"/>
              <w:rPr>
                <w:rFonts w:ascii="Arial"/>
                <w:sz w:val="21"/>
                <w:highlight w:val="none"/>
              </w:rPr>
            </w:pPr>
          </w:p>
          <w:p w14:paraId="2BB54CA7">
            <w:pPr>
              <w:pStyle w:val="12"/>
              <w:spacing w:before="59" w:line="360" w:lineRule="auto"/>
              <w:ind w:left="296" w:right="268" w:firstLine="75"/>
              <w:rPr>
                <w:sz w:val="18"/>
                <w:szCs w:val="18"/>
                <w:highlight w:val="none"/>
              </w:rPr>
            </w:pPr>
            <w:r>
              <w:rPr>
                <w:spacing w:val="-5"/>
                <w:sz w:val="18"/>
                <w:szCs w:val="18"/>
                <w:highlight w:val="none"/>
              </w:rPr>
              <w:t>级长</w:t>
            </w:r>
            <w:r>
              <w:rPr>
                <w:spacing w:val="32"/>
                <w:sz w:val="18"/>
                <w:szCs w:val="18"/>
                <w:highlight w:val="none"/>
              </w:rPr>
              <w:t>班长</w:t>
            </w:r>
            <w:r>
              <w:rPr>
                <w:spacing w:val="-8"/>
                <w:sz w:val="18"/>
                <w:szCs w:val="18"/>
                <w:highlight w:val="none"/>
              </w:rPr>
              <w:t>团支书</w:t>
            </w:r>
          </w:p>
        </w:tc>
        <w:tc>
          <w:tcPr>
            <w:tcW w:w="962" w:type="dxa"/>
            <w:vAlign w:val="top"/>
          </w:tcPr>
          <w:p w14:paraId="0CC3F0EF">
            <w:pPr>
              <w:spacing w:line="360" w:lineRule="auto"/>
              <w:rPr>
                <w:rFonts w:ascii="Arial"/>
                <w:sz w:val="21"/>
                <w:highlight w:val="none"/>
              </w:rPr>
            </w:pPr>
          </w:p>
          <w:p w14:paraId="152B1070">
            <w:pPr>
              <w:spacing w:line="360" w:lineRule="auto"/>
              <w:rPr>
                <w:rFonts w:ascii="Arial"/>
                <w:sz w:val="21"/>
                <w:highlight w:val="none"/>
              </w:rPr>
            </w:pPr>
          </w:p>
          <w:p w14:paraId="77B8ABD8">
            <w:pPr>
              <w:spacing w:line="360" w:lineRule="auto"/>
              <w:rPr>
                <w:rFonts w:ascii="Arial"/>
                <w:sz w:val="21"/>
                <w:highlight w:val="none"/>
              </w:rPr>
            </w:pPr>
          </w:p>
          <w:p w14:paraId="0E1979AB">
            <w:pPr>
              <w:pStyle w:val="12"/>
              <w:spacing w:before="59" w:line="360" w:lineRule="auto"/>
              <w:ind w:left="125" w:right="119"/>
              <w:rPr>
                <w:sz w:val="18"/>
                <w:szCs w:val="18"/>
                <w:highlight w:val="none"/>
              </w:rPr>
            </w:pPr>
            <w:r>
              <w:rPr>
                <w:spacing w:val="-2"/>
                <w:sz w:val="18"/>
                <w:szCs w:val="18"/>
                <w:highlight w:val="none"/>
              </w:rPr>
              <w:t>校青协、红会部长院青红联合会会长</w:t>
            </w:r>
          </w:p>
        </w:tc>
        <w:tc>
          <w:tcPr>
            <w:tcW w:w="1170" w:type="dxa"/>
            <w:vAlign w:val="top"/>
          </w:tcPr>
          <w:p w14:paraId="407601E6">
            <w:pPr>
              <w:pStyle w:val="12"/>
              <w:spacing w:before="69" w:line="360" w:lineRule="auto"/>
              <w:ind w:left="140"/>
              <w:rPr>
                <w:sz w:val="18"/>
                <w:szCs w:val="18"/>
                <w:highlight w:val="none"/>
              </w:rPr>
            </w:pPr>
            <w:r>
              <w:rPr>
                <w:spacing w:val="-2"/>
                <w:sz w:val="18"/>
                <w:szCs w:val="18"/>
                <w:highlight w:val="none"/>
              </w:rPr>
              <w:t>校艺术团部</w:t>
            </w:r>
          </w:p>
          <w:p w14:paraId="0B37FFCD">
            <w:pPr>
              <w:pStyle w:val="12"/>
              <w:spacing w:before="98" w:line="360" w:lineRule="auto"/>
              <w:ind w:left="500"/>
              <w:rPr>
                <w:sz w:val="18"/>
                <w:szCs w:val="18"/>
                <w:highlight w:val="none"/>
              </w:rPr>
            </w:pPr>
            <w:r>
              <w:rPr>
                <w:sz w:val="18"/>
                <w:szCs w:val="18"/>
                <w:highlight w:val="none"/>
              </w:rPr>
              <w:t>长</w:t>
            </w:r>
          </w:p>
          <w:p w14:paraId="1A5AB221">
            <w:pPr>
              <w:pStyle w:val="12"/>
              <w:spacing w:before="93" w:line="360" w:lineRule="auto"/>
              <w:ind w:left="140"/>
              <w:rPr>
                <w:sz w:val="18"/>
                <w:szCs w:val="18"/>
                <w:highlight w:val="none"/>
              </w:rPr>
            </w:pPr>
            <w:r>
              <w:rPr>
                <w:spacing w:val="-2"/>
                <w:sz w:val="18"/>
                <w:szCs w:val="18"/>
                <w:highlight w:val="none"/>
              </w:rPr>
              <w:t>校广播台部</w:t>
            </w:r>
          </w:p>
          <w:p w14:paraId="7AEFFEBF">
            <w:pPr>
              <w:pStyle w:val="12"/>
              <w:spacing w:before="98" w:line="360" w:lineRule="auto"/>
              <w:ind w:left="500"/>
              <w:rPr>
                <w:sz w:val="18"/>
                <w:szCs w:val="18"/>
                <w:highlight w:val="none"/>
              </w:rPr>
            </w:pPr>
            <w:r>
              <w:rPr>
                <w:sz w:val="18"/>
                <w:szCs w:val="18"/>
                <w:highlight w:val="none"/>
              </w:rPr>
              <w:t>长</w:t>
            </w:r>
          </w:p>
          <w:p w14:paraId="205DF4D2">
            <w:pPr>
              <w:pStyle w:val="12"/>
              <w:spacing w:before="93" w:line="360" w:lineRule="auto"/>
              <w:ind w:left="140"/>
              <w:rPr>
                <w:sz w:val="18"/>
                <w:szCs w:val="18"/>
                <w:highlight w:val="none"/>
              </w:rPr>
            </w:pPr>
            <w:r>
              <w:rPr>
                <w:spacing w:val="-2"/>
                <w:sz w:val="18"/>
                <w:szCs w:val="18"/>
                <w:highlight w:val="none"/>
              </w:rPr>
              <w:t>新闻社部门</w:t>
            </w:r>
          </w:p>
          <w:p w14:paraId="281E39C9">
            <w:pPr>
              <w:pStyle w:val="12"/>
              <w:spacing w:before="97" w:line="360" w:lineRule="auto"/>
              <w:ind w:left="413"/>
              <w:rPr>
                <w:sz w:val="18"/>
                <w:szCs w:val="18"/>
                <w:highlight w:val="none"/>
              </w:rPr>
            </w:pPr>
            <w:r>
              <w:rPr>
                <w:spacing w:val="-3"/>
                <w:sz w:val="18"/>
                <w:szCs w:val="18"/>
                <w:highlight w:val="none"/>
              </w:rPr>
              <w:t>部长</w:t>
            </w:r>
          </w:p>
          <w:p w14:paraId="05EFDCB6">
            <w:pPr>
              <w:pStyle w:val="12"/>
              <w:spacing w:before="98" w:line="360" w:lineRule="auto"/>
              <w:ind w:left="151"/>
              <w:rPr>
                <w:sz w:val="18"/>
                <w:szCs w:val="18"/>
                <w:highlight w:val="none"/>
              </w:rPr>
            </w:pPr>
            <w:r>
              <w:rPr>
                <w:spacing w:val="-4"/>
                <w:sz w:val="18"/>
                <w:szCs w:val="18"/>
                <w:highlight w:val="none"/>
              </w:rPr>
              <w:t>院艺术团团</w:t>
            </w:r>
          </w:p>
          <w:p w14:paraId="120F55E7">
            <w:pPr>
              <w:pStyle w:val="12"/>
              <w:spacing w:before="98" w:line="360" w:lineRule="auto"/>
              <w:ind w:left="500"/>
              <w:rPr>
                <w:sz w:val="18"/>
                <w:szCs w:val="18"/>
                <w:highlight w:val="none"/>
              </w:rPr>
            </w:pPr>
            <w:r>
              <w:rPr>
                <w:sz w:val="18"/>
                <w:szCs w:val="18"/>
                <w:highlight w:val="none"/>
              </w:rPr>
              <w:t>长</w:t>
            </w:r>
          </w:p>
          <w:p w14:paraId="2B848DA6">
            <w:pPr>
              <w:pStyle w:val="12"/>
              <w:spacing w:before="94" w:line="360" w:lineRule="auto"/>
              <w:ind w:left="140"/>
              <w:rPr>
                <w:sz w:val="18"/>
                <w:szCs w:val="18"/>
                <w:highlight w:val="none"/>
              </w:rPr>
            </w:pPr>
            <w:r>
              <w:rPr>
                <w:spacing w:val="-2"/>
                <w:sz w:val="18"/>
                <w:szCs w:val="18"/>
                <w:highlight w:val="none"/>
              </w:rPr>
              <w:t>校辩论队队</w:t>
            </w:r>
          </w:p>
          <w:p w14:paraId="429FB92D">
            <w:pPr>
              <w:pStyle w:val="12"/>
              <w:spacing w:before="98" w:line="360" w:lineRule="auto"/>
              <w:ind w:left="500"/>
              <w:rPr>
                <w:sz w:val="18"/>
                <w:szCs w:val="18"/>
                <w:highlight w:val="none"/>
              </w:rPr>
            </w:pPr>
            <w:r>
              <w:rPr>
                <w:sz w:val="18"/>
                <w:szCs w:val="18"/>
                <w:highlight w:val="none"/>
              </w:rPr>
              <w:t>长</w:t>
            </w:r>
          </w:p>
        </w:tc>
        <w:tc>
          <w:tcPr>
            <w:tcW w:w="1349" w:type="dxa"/>
            <w:vAlign w:val="top"/>
          </w:tcPr>
          <w:p w14:paraId="250CB3C1">
            <w:pPr>
              <w:spacing w:line="360" w:lineRule="auto"/>
              <w:rPr>
                <w:rFonts w:ascii="Arial"/>
                <w:sz w:val="21"/>
                <w:highlight w:val="none"/>
              </w:rPr>
            </w:pPr>
          </w:p>
          <w:p w14:paraId="75776A33">
            <w:pPr>
              <w:spacing w:line="360" w:lineRule="auto"/>
              <w:rPr>
                <w:rFonts w:ascii="Arial"/>
                <w:sz w:val="21"/>
                <w:highlight w:val="none"/>
              </w:rPr>
            </w:pPr>
          </w:p>
          <w:p w14:paraId="0FF4D861">
            <w:pPr>
              <w:spacing w:line="360" w:lineRule="auto"/>
              <w:rPr>
                <w:rFonts w:ascii="Arial"/>
                <w:sz w:val="21"/>
                <w:highlight w:val="none"/>
              </w:rPr>
            </w:pPr>
          </w:p>
          <w:p w14:paraId="6F37A43E">
            <w:pPr>
              <w:spacing w:line="360" w:lineRule="auto"/>
              <w:rPr>
                <w:rFonts w:ascii="Arial"/>
                <w:sz w:val="21"/>
                <w:highlight w:val="none"/>
              </w:rPr>
            </w:pPr>
          </w:p>
          <w:p w14:paraId="722176A2">
            <w:pPr>
              <w:pStyle w:val="12"/>
              <w:spacing w:before="59" w:line="360" w:lineRule="auto"/>
              <w:ind w:left="144"/>
              <w:rPr>
                <w:color w:val="auto"/>
                <w:sz w:val="18"/>
                <w:szCs w:val="18"/>
                <w:highlight w:val="none"/>
              </w:rPr>
            </w:pPr>
            <w:r>
              <w:rPr>
                <w:color w:val="auto"/>
                <w:spacing w:val="-2"/>
                <w:sz w:val="18"/>
                <w:szCs w:val="18"/>
                <w:highlight w:val="none"/>
              </w:rPr>
              <w:t>其他校内组织</w:t>
            </w:r>
          </w:p>
          <w:p w14:paraId="7573BA98">
            <w:pPr>
              <w:pStyle w:val="12"/>
              <w:spacing w:before="97" w:line="360" w:lineRule="auto"/>
              <w:ind w:left="145"/>
              <w:rPr>
                <w:color w:val="auto"/>
                <w:sz w:val="18"/>
                <w:szCs w:val="18"/>
                <w:highlight w:val="none"/>
              </w:rPr>
            </w:pPr>
            <w:r>
              <w:rPr>
                <w:color w:val="auto"/>
                <w:spacing w:val="-2"/>
                <w:sz w:val="18"/>
                <w:szCs w:val="18"/>
                <w:highlight w:val="none"/>
              </w:rPr>
              <w:t>最高层级负责</w:t>
            </w:r>
          </w:p>
          <w:p w14:paraId="02889BFF">
            <w:pPr>
              <w:pStyle w:val="12"/>
              <w:spacing w:before="98" w:line="360" w:lineRule="auto"/>
              <w:ind w:left="593"/>
              <w:rPr>
                <w:sz w:val="18"/>
                <w:szCs w:val="18"/>
                <w:highlight w:val="none"/>
              </w:rPr>
            </w:pPr>
            <w:r>
              <w:rPr>
                <w:color w:val="auto"/>
                <w:sz w:val="18"/>
                <w:szCs w:val="18"/>
                <w:highlight w:val="none"/>
              </w:rPr>
              <w:t>人</w:t>
            </w:r>
          </w:p>
        </w:tc>
        <w:tc>
          <w:tcPr>
            <w:tcW w:w="859" w:type="dxa"/>
            <w:vAlign w:val="top"/>
          </w:tcPr>
          <w:p w14:paraId="427C9BB6">
            <w:pPr>
              <w:spacing w:line="360" w:lineRule="auto"/>
              <w:rPr>
                <w:rFonts w:ascii="Arial"/>
                <w:sz w:val="21"/>
                <w:highlight w:val="none"/>
              </w:rPr>
            </w:pPr>
          </w:p>
          <w:p w14:paraId="07B5EECA">
            <w:pPr>
              <w:spacing w:line="360" w:lineRule="auto"/>
              <w:rPr>
                <w:rFonts w:ascii="Arial"/>
                <w:sz w:val="21"/>
                <w:highlight w:val="none"/>
              </w:rPr>
            </w:pPr>
          </w:p>
          <w:p w14:paraId="415800A2">
            <w:pPr>
              <w:spacing w:line="360" w:lineRule="auto"/>
              <w:rPr>
                <w:rFonts w:ascii="Arial"/>
                <w:sz w:val="21"/>
                <w:highlight w:val="none"/>
              </w:rPr>
            </w:pPr>
          </w:p>
          <w:p w14:paraId="753B02C8">
            <w:pPr>
              <w:spacing w:line="360" w:lineRule="auto"/>
              <w:rPr>
                <w:rFonts w:ascii="Arial"/>
                <w:sz w:val="21"/>
                <w:highlight w:val="none"/>
              </w:rPr>
            </w:pPr>
          </w:p>
          <w:p w14:paraId="579721AD">
            <w:pPr>
              <w:spacing w:line="360" w:lineRule="auto"/>
              <w:rPr>
                <w:rFonts w:ascii="Arial"/>
                <w:sz w:val="21"/>
                <w:highlight w:val="none"/>
              </w:rPr>
            </w:pPr>
          </w:p>
          <w:p w14:paraId="7D819765">
            <w:pPr>
              <w:pStyle w:val="12"/>
              <w:spacing w:before="59" w:line="360" w:lineRule="auto"/>
              <w:ind w:left="356"/>
              <w:rPr>
                <w:sz w:val="18"/>
                <w:szCs w:val="18"/>
                <w:highlight w:val="none"/>
              </w:rPr>
            </w:pPr>
            <w:r>
              <w:rPr>
                <w:b/>
                <w:bCs/>
                <w:spacing w:val="-7"/>
                <w:sz w:val="18"/>
                <w:szCs w:val="18"/>
                <w:highlight w:val="none"/>
              </w:rPr>
              <w:t>13</w:t>
            </w:r>
          </w:p>
        </w:tc>
      </w:tr>
      <w:tr w14:paraId="0826FC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9" w:hRule="atLeast"/>
        </w:trPr>
        <w:tc>
          <w:tcPr>
            <w:tcW w:w="731" w:type="dxa"/>
            <w:vAlign w:val="top"/>
          </w:tcPr>
          <w:p w14:paraId="6B69ACD1">
            <w:pPr>
              <w:spacing w:line="360" w:lineRule="auto"/>
              <w:rPr>
                <w:rFonts w:ascii="Arial"/>
                <w:sz w:val="21"/>
                <w:highlight w:val="none"/>
              </w:rPr>
            </w:pPr>
          </w:p>
          <w:p w14:paraId="4AD76A4D">
            <w:pPr>
              <w:spacing w:line="360" w:lineRule="auto"/>
              <w:rPr>
                <w:rFonts w:ascii="Arial"/>
                <w:sz w:val="21"/>
                <w:highlight w:val="none"/>
              </w:rPr>
            </w:pPr>
          </w:p>
          <w:p w14:paraId="18010D4E">
            <w:pPr>
              <w:spacing w:line="360" w:lineRule="auto"/>
              <w:rPr>
                <w:rFonts w:ascii="Arial"/>
                <w:sz w:val="21"/>
                <w:highlight w:val="none"/>
              </w:rPr>
            </w:pPr>
          </w:p>
          <w:p w14:paraId="585C46F7">
            <w:pPr>
              <w:spacing w:line="360" w:lineRule="auto"/>
              <w:rPr>
                <w:rFonts w:ascii="Arial"/>
                <w:sz w:val="21"/>
                <w:highlight w:val="none"/>
              </w:rPr>
            </w:pPr>
          </w:p>
          <w:p w14:paraId="68F61EE1">
            <w:pPr>
              <w:spacing w:line="360" w:lineRule="auto"/>
              <w:rPr>
                <w:rFonts w:ascii="Arial"/>
                <w:sz w:val="21"/>
                <w:highlight w:val="none"/>
              </w:rPr>
            </w:pPr>
          </w:p>
          <w:p w14:paraId="0EA23C9A">
            <w:pPr>
              <w:pStyle w:val="12"/>
              <w:spacing w:before="59" w:line="360" w:lineRule="auto"/>
              <w:ind w:left="283"/>
              <w:rPr>
                <w:sz w:val="18"/>
                <w:szCs w:val="18"/>
                <w:highlight w:val="none"/>
              </w:rPr>
            </w:pPr>
            <w:r>
              <w:rPr>
                <w:b/>
                <w:bCs/>
                <w:spacing w:val="-2"/>
                <w:sz w:val="18"/>
                <w:szCs w:val="18"/>
                <w:highlight w:val="none"/>
              </w:rPr>
              <w:t>五</w:t>
            </w:r>
          </w:p>
        </w:tc>
        <w:tc>
          <w:tcPr>
            <w:tcW w:w="847" w:type="dxa"/>
            <w:vAlign w:val="top"/>
          </w:tcPr>
          <w:p w14:paraId="377674FA">
            <w:pPr>
              <w:pStyle w:val="12"/>
              <w:spacing w:before="73" w:line="360" w:lineRule="auto"/>
              <w:ind w:left="168"/>
              <w:rPr>
                <w:sz w:val="18"/>
                <w:szCs w:val="18"/>
                <w:highlight w:val="none"/>
              </w:rPr>
            </w:pPr>
            <w:r>
              <w:rPr>
                <w:spacing w:val="-5"/>
                <w:sz w:val="18"/>
                <w:szCs w:val="18"/>
                <w:highlight w:val="none"/>
              </w:rPr>
              <w:t>院团总</w:t>
            </w:r>
          </w:p>
          <w:p w14:paraId="7BEE8711">
            <w:pPr>
              <w:pStyle w:val="12"/>
              <w:spacing w:before="96" w:line="360" w:lineRule="auto"/>
              <w:ind w:left="157"/>
              <w:rPr>
                <w:sz w:val="18"/>
                <w:szCs w:val="18"/>
                <w:highlight w:val="none"/>
              </w:rPr>
            </w:pPr>
            <w:r>
              <w:rPr>
                <w:spacing w:val="-2"/>
                <w:sz w:val="18"/>
                <w:szCs w:val="18"/>
                <w:highlight w:val="none"/>
              </w:rPr>
              <w:t>支副部</w:t>
            </w:r>
          </w:p>
          <w:p w14:paraId="2A021E44">
            <w:pPr>
              <w:pStyle w:val="12"/>
              <w:spacing w:before="98" w:line="360" w:lineRule="auto"/>
              <w:ind w:left="337"/>
              <w:rPr>
                <w:sz w:val="18"/>
                <w:szCs w:val="18"/>
                <w:highlight w:val="none"/>
              </w:rPr>
            </w:pPr>
            <w:r>
              <w:rPr>
                <w:sz w:val="18"/>
                <w:szCs w:val="18"/>
                <w:highlight w:val="none"/>
              </w:rPr>
              <w:t>长</w:t>
            </w:r>
          </w:p>
          <w:p w14:paraId="44E7E7A6">
            <w:pPr>
              <w:pStyle w:val="12"/>
              <w:spacing w:before="93" w:line="360" w:lineRule="auto"/>
              <w:ind w:left="157"/>
              <w:rPr>
                <w:sz w:val="18"/>
                <w:szCs w:val="18"/>
                <w:highlight w:val="none"/>
              </w:rPr>
            </w:pPr>
            <w:r>
              <w:rPr>
                <w:spacing w:val="-2"/>
                <w:sz w:val="18"/>
                <w:szCs w:val="18"/>
                <w:highlight w:val="none"/>
              </w:rPr>
              <w:t>党支部</w:t>
            </w:r>
          </w:p>
          <w:p w14:paraId="388717FA">
            <w:pPr>
              <w:pStyle w:val="12"/>
              <w:spacing w:before="98" w:line="360" w:lineRule="auto"/>
              <w:ind w:left="246"/>
              <w:rPr>
                <w:sz w:val="18"/>
                <w:szCs w:val="18"/>
                <w:highlight w:val="none"/>
              </w:rPr>
            </w:pPr>
            <w:r>
              <w:rPr>
                <w:spacing w:val="-2"/>
                <w:sz w:val="18"/>
                <w:szCs w:val="18"/>
                <w:highlight w:val="none"/>
              </w:rPr>
              <w:t>支委</w:t>
            </w:r>
          </w:p>
          <w:p w14:paraId="5759636F">
            <w:pPr>
              <w:pStyle w:val="12"/>
              <w:spacing w:before="97" w:line="360" w:lineRule="auto"/>
              <w:ind w:left="157"/>
              <w:rPr>
                <w:sz w:val="18"/>
                <w:szCs w:val="18"/>
                <w:highlight w:val="none"/>
              </w:rPr>
            </w:pPr>
            <w:r>
              <w:rPr>
                <w:spacing w:val="-2"/>
                <w:sz w:val="18"/>
                <w:szCs w:val="18"/>
                <w:highlight w:val="none"/>
              </w:rPr>
              <w:t>党建工</w:t>
            </w:r>
          </w:p>
          <w:p w14:paraId="2DACDC7A">
            <w:pPr>
              <w:pStyle w:val="12"/>
              <w:spacing w:before="98" w:line="360" w:lineRule="auto"/>
              <w:ind w:left="246"/>
              <w:rPr>
                <w:sz w:val="18"/>
                <w:szCs w:val="18"/>
                <w:highlight w:val="none"/>
              </w:rPr>
            </w:pPr>
            <w:r>
              <w:rPr>
                <w:spacing w:val="-2"/>
                <w:sz w:val="18"/>
                <w:szCs w:val="18"/>
                <w:highlight w:val="none"/>
              </w:rPr>
              <w:t>作室</w:t>
            </w:r>
          </w:p>
          <w:p w14:paraId="64EBF10F">
            <w:pPr>
              <w:pStyle w:val="12"/>
              <w:spacing w:before="97" w:line="360" w:lineRule="auto"/>
              <w:ind w:left="161"/>
              <w:rPr>
                <w:sz w:val="18"/>
                <w:szCs w:val="18"/>
                <w:highlight w:val="none"/>
              </w:rPr>
            </w:pPr>
            <w:r>
              <w:rPr>
                <w:spacing w:val="-9"/>
                <w:sz w:val="18"/>
                <w:szCs w:val="18"/>
                <w:highlight w:val="none"/>
              </w:rPr>
              <w:t>（正、</w:t>
            </w:r>
          </w:p>
          <w:p w14:paraId="772833D5">
            <w:pPr>
              <w:pStyle w:val="12"/>
              <w:spacing w:before="85" w:line="360" w:lineRule="auto"/>
              <w:ind w:left="160"/>
              <w:rPr>
                <w:sz w:val="18"/>
                <w:szCs w:val="18"/>
                <w:highlight w:val="none"/>
              </w:rPr>
            </w:pPr>
            <w:r>
              <w:rPr>
                <w:spacing w:val="-3"/>
                <w:sz w:val="18"/>
                <w:szCs w:val="18"/>
                <w:highlight w:val="none"/>
              </w:rPr>
              <w:t>副）主</w:t>
            </w:r>
          </w:p>
        </w:tc>
        <w:tc>
          <w:tcPr>
            <w:tcW w:w="900" w:type="dxa"/>
            <w:vAlign w:val="top"/>
          </w:tcPr>
          <w:p w14:paraId="3B7AB87F">
            <w:pPr>
              <w:spacing w:line="360" w:lineRule="auto"/>
              <w:rPr>
                <w:rFonts w:ascii="Arial"/>
                <w:sz w:val="21"/>
                <w:highlight w:val="none"/>
              </w:rPr>
            </w:pPr>
          </w:p>
        </w:tc>
        <w:tc>
          <w:tcPr>
            <w:tcW w:w="832" w:type="dxa"/>
            <w:vAlign w:val="top"/>
          </w:tcPr>
          <w:p w14:paraId="16AAD39E">
            <w:pPr>
              <w:pStyle w:val="12"/>
              <w:spacing w:before="73" w:line="360" w:lineRule="auto"/>
              <w:ind w:left="167"/>
              <w:rPr>
                <w:sz w:val="18"/>
                <w:szCs w:val="18"/>
                <w:highlight w:val="none"/>
              </w:rPr>
            </w:pPr>
            <w:r>
              <w:rPr>
                <w:spacing w:val="-6"/>
                <w:sz w:val="18"/>
                <w:szCs w:val="18"/>
                <w:highlight w:val="none"/>
              </w:rPr>
              <w:t>国旗护</w:t>
            </w:r>
          </w:p>
          <w:p w14:paraId="02542FC3">
            <w:pPr>
              <w:pStyle w:val="12"/>
              <w:spacing w:before="96" w:line="360" w:lineRule="auto"/>
              <w:ind w:left="151"/>
              <w:rPr>
                <w:sz w:val="18"/>
                <w:szCs w:val="18"/>
                <w:highlight w:val="none"/>
              </w:rPr>
            </w:pPr>
            <w:r>
              <w:rPr>
                <w:spacing w:val="-2"/>
                <w:sz w:val="18"/>
                <w:szCs w:val="18"/>
                <w:highlight w:val="none"/>
              </w:rPr>
              <w:t>卫队副</w:t>
            </w:r>
          </w:p>
          <w:p w14:paraId="38C2E0B1">
            <w:pPr>
              <w:pStyle w:val="12"/>
              <w:spacing w:before="97" w:line="360" w:lineRule="auto"/>
              <w:ind w:left="243"/>
              <w:rPr>
                <w:sz w:val="18"/>
                <w:szCs w:val="18"/>
                <w:highlight w:val="none"/>
              </w:rPr>
            </w:pPr>
            <w:r>
              <w:rPr>
                <w:spacing w:val="-3"/>
                <w:sz w:val="18"/>
                <w:szCs w:val="18"/>
                <w:highlight w:val="none"/>
              </w:rPr>
              <w:t>总指</w:t>
            </w:r>
          </w:p>
          <w:p w14:paraId="499DC3F0">
            <w:pPr>
              <w:pStyle w:val="12"/>
              <w:spacing w:before="96" w:line="360" w:lineRule="auto"/>
              <w:ind w:left="149"/>
              <w:rPr>
                <w:sz w:val="18"/>
                <w:szCs w:val="18"/>
                <w:highlight w:val="none"/>
              </w:rPr>
            </w:pPr>
            <w:r>
              <w:rPr>
                <w:spacing w:val="-2"/>
                <w:sz w:val="18"/>
                <w:szCs w:val="18"/>
                <w:highlight w:val="none"/>
              </w:rPr>
              <w:t>挥、副</w:t>
            </w:r>
          </w:p>
          <w:p w14:paraId="0264F170">
            <w:pPr>
              <w:pStyle w:val="12"/>
              <w:spacing w:before="97" w:line="360" w:lineRule="auto"/>
              <w:ind w:left="243"/>
              <w:rPr>
                <w:sz w:val="18"/>
                <w:szCs w:val="18"/>
                <w:highlight w:val="none"/>
              </w:rPr>
            </w:pPr>
            <w:r>
              <w:rPr>
                <w:spacing w:val="-3"/>
                <w:sz w:val="18"/>
                <w:szCs w:val="18"/>
                <w:highlight w:val="none"/>
              </w:rPr>
              <w:t>总务</w:t>
            </w:r>
          </w:p>
          <w:p w14:paraId="3C787729">
            <w:pPr>
              <w:pStyle w:val="12"/>
              <w:spacing w:before="98" w:line="360" w:lineRule="auto"/>
              <w:ind w:left="150"/>
              <w:rPr>
                <w:sz w:val="18"/>
                <w:szCs w:val="18"/>
                <w:highlight w:val="none"/>
              </w:rPr>
            </w:pPr>
            <w:r>
              <w:rPr>
                <w:spacing w:val="-2"/>
                <w:sz w:val="18"/>
                <w:szCs w:val="18"/>
                <w:highlight w:val="none"/>
              </w:rPr>
              <w:t>长、副</w:t>
            </w:r>
          </w:p>
          <w:p w14:paraId="4F706545">
            <w:pPr>
              <w:pStyle w:val="12"/>
              <w:spacing w:before="97" w:line="360" w:lineRule="auto"/>
              <w:ind w:left="238"/>
              <w:rPr>
                <w:sz w:val="18"/>
                <w:szCs w:val="18"/>
                <w:highlight w:val="none"/>
              </w:rPr>
            </w:pPr>
            <w:r>
              <w:rPr>
                <w:spacing w:val="-2"/>
                <w:sz w:val="18"/>
                <w:szCs w:val="18"/>
                <w:highlight w:val="none"/>
              </w:rPr>
              <w:t>旗务</w:t>
            </w:r>
          </w:p>
          <w:p w14:paraId="2A299034">
            <w:pPr>
              <w:pStyle w:val="12"/>
              <w:spacing w:before="98" w:line="360" w:lineRule="auto"/>
              <w:ind w:left="150"/>
              <w:rPr>
                <w:sz w:val="18"/>
                <w:szCs w:val="18"/>
                <w:highlight w:val="none"/>
              </w:rPr>
            </w:pPr>
            <w:r>
              <w:rPr>
                <w:spacing w:val="-2"/>
                <w:sz w:val="18"/>
                <w:szCs w:val="18"/>
                <w:highlight w:val="none"/>
              </w:rPr>
              <w:t>长、副</w:t>
            </w:r>
          </w:p>
          <w:p w14:paraId="5826D1E2">
            <w:pPr>
              <w:pStyle w:val="12"/>
              <w:spacing w:before="97" w:line="360" w:lineRule="auto"/>
              <w:ind w:left="149"/>
              <w:rPr>
                <w:sz w:val="18"/>
                <w:szCs w:val="18"/>
                <w:highlight w:val="none"/>
              </w:rPr>
            </w:pPr>
            <w:r>
              <w:rPr>
                <w:spacing w:val="-2"/>
                <w:sz w:val="18"/>
                <w:szCs w:val="18"/>
                <w:highlight w:val="none"/>
              </w:rPr>
              <w:t>政务长</w:t>
            </w:r>
          </w:p>
        </w:tc>
        <w:tc>
          <w:tcPr>
            <w:tcW w:w="1087" w:type="dxa"/>
            <w:vAlign w:val="top"/>
          </w:tcPr>
          <w:p w14:paraId="5FCA9D37">
            <w:pPr>
              <w:spacing w:line="360" w:lineRule="auto"/>
              <w:rPr>
                <w:rFonts w:ascii="Arial"/>
                <w:sz w:val="21"/>
                <w:highlight w:val="none"/>
              </w:rPr>
            </w:pPr>
          </w:p>
          <w:p w14:paraId="1950845D">
            <w:pPr>
              <w:spacing w:line="360" w:lineRule="auto"/>
              <w:rPr>
                <w:rFonts w:ascii="Arial"/>
                <w:sz w:val="21"/>
                <w:highlight w:val="none"/>
              </w:rPr>
            </w:pPr>
          </w:p>
          <w:p w14:paraId="1C647F65">
            <w:pPr>
              <w:spacing w:line="360" w:lineRule="auto"/>
              <w:rPr>
                <w:rFonts w:ascii="Arial"/>
                <w:sz w:val="21"/>
                <w:highlight w:val="none"/>
              </w:rPr>
            </w:pPr>
          </w:p>
          <w:p w14:paraId="3731847D">
            <w:pPr>
              <w:pStyle w:val="12"/>
              <w:spacing w:before="59" w:line="360" w:lineRule="auto"/>
              <w:ind w:left="372" w:right="268" w:hanging="88"/>
              <w:rPr>
                <w:sz w:val="18"/>
                <w:szCs w:val="18"/>
                <w:highlight w:val="none"/>
              </w:rPr>
            </w:pPr>
            <w:r>
              <w:rPr>
                <w:spacing w:val="-4"/>
                <w:sz w:val="18"/>
                <w:szCs w:val="18"/>
                <w:highlight w:val="none"/>
              </w:rPr>
              <w:t>副班长</w:t>
            </w:r>
            <w:r>
              <w:rPr>
                <w:spacing w:val="-3"/>
                <w:sz w:val="18"/>
                <w:szCs w:val="18"/>
                <w:highlight w:val="none"/>
              </w:rPr>
              <w:t>学委</w:t>
            </w:r>
          </w:p>
        </w:tc>
        <w:tc>
          <w:tcPr>
            <w:tcW w:w="962" w:type="dxa"/>
            <w:vAlign w:val="top"/>
          </w:tcPr>
          <w:p w14:paraId="62B15F60">
            <w:pPr>
              <w:spacing w:line="360" w:lineRule="auto"/>
              <w:rPr>
                <w:rFonts w:ascii="Arial"/>
                <w:sz w:val="21"/>
                <w:highlight w:val="none"/>
              </w:rPr>
            </w:pPr>
          </w:p>
          <w:p w14:paraId="5C9DB4D3">
            <w:pPr>
              <w:pStyle w:val="12"/>
              <w:spacing w:before="59" w:line="360" w:lineRule="auto"/>
              <w:ind w:left="125"/>
              <w:rPr>
                <w:sz w:val="18"/>
                <w:szCs w:val="18"/>
                <w:highlight w:val="none"/>
              </w:rPr>
            </w:pPr>
            <w:r>
              <w:rPr>
                <w:spacing w:val="-7"/>
                <w:sz w:val="18"/>
                <w:szCs w:val="18"/>
                <w:highlight w:val="none"/>
              </w:rPr>
              <w:t>校青协、</w:t>
            </w:r>
          </w:p>
          <w:p w14:paraId="4DE2148D">
            <w:pPr>
              <w:pStyle w:val="12"/>
              <w:spacing w:before="98" w:line="360" w:lineRule="auto"/>
              <w:ind w:left="129"/>
              <w:rPr>
                <w:sz w:val="18"/>
                <w:szCs w:val="18"/>
                <w:highlight w:val="none"/>
              </w:rPr>
            </w:pPr>
            <w:r>
              <w:rPr>
                <w:spacing w:val="-3"/>
                <w:sz w:val="18"/>
                <w:szCs w:val="18"/>
                <w:highlight w:val="none"/>
              </w:rPr>
              <w:t>红会副部</w:t>
            </w:r>
          </w:p>
          <w:p w14:paraId="761A586C">
            <w:pPr>
              <w:pStyle w:val="12"/>
              <w:spacing w:before="98" w:line="360" w:lineRule="auto"/>
              <w:ind w:left="397"/>
              <w:rPr>
                <w:sz w:val="18"/>
                <w:szCs w:val="18"/>
                <w:highlight w:val="none"/>
              </w:rPr>
            </w:pPr>
            <w:r>
              <w:rPr>
                <w:sz w:val="18"/>
                <w:szCs w:val="18"/>
                <w:highlight w:val="none"/>
              </w:rPr>
              <w:t>长</w:t>
            </w:r>
          </w:p>
          <w:p w14:paraId="56947885">
            <w:pPr>
              <w:pStyle w:val="12"/>
              <w:spacing w:before="94" w:line="360" w:lineRule="auto"/>
              <w:ind w:left="136"/>
              <w:rPr>
                <w:sz w:val="18"/>
                <w:szCs w:val="18"/>
                <w:highlight w:val="none"/>
              </w:rPr>
            </w:pPr>
            <w:r>
              <w:rPr>
                <w:spacing w:val="-4"/>
                <w:sz w:val="18"/>
                <w:szCs w:val="18"/>
                <w:highlight w:val="none"/>
              </w:rPr>
              <w:t>院青红联</w:t>
            </w:r>
          </w:p>
          <w:p w14:paraId="06087E8A">
            <w:pPr>
              <w:pStyle w:val="12"/>
              <w:spacing w:before="98" w:line="360" w:lineRule="auto"/>
              <w:ind w:left="125"/>
              <w:rPr>
                <w:sz w:val="18"/>
                <w:szCs w:val="18"/>
                <w:highlight w:val="none"/>
              </w:rPr>
            </w:pPr>
            <w:r>
              <w:rPr>
                <w:spacing w:val="-2"/>
                <w:sz w:val="18"/>
                <w:szCs w:val="18"/>
                <w:highlight w:val="none"/>
              </w:rPr>
              <w:t>合会副会</w:t>
            </w:r>
          </w:p>
          <w:p w14:paraId="643781BA">
            <w:pPr>
              <w:pStyle w:val="12"/>
              <w:spacing w:before="98" w:line="360" w:lineRule="auto"/>
              <w:ind w:left="397"/>
              <w:rPr>
                <w:sz w:val="18"/>
                <w:szCs w:val="18"/>
                <w:highlight w:val="none"/>
              </w:rPr>
            </w:pPr>
            <w:r>
              <w:rPr>
                <w:sz w:val="18"/>
                <w:szCs w:val="18"/>
                <w:highlight w:val="none"/>
              </w:rPr>
              <w:t>长</w:t>
            </w:r>
          </w:p>
        </w:tc>
        <w:tc>
          <w:tcPr>
            <w:tcW w:w="1170" w:type="dxa"/>
            <w:vAlign w:val="top"/>
          </w:tcPr>
          <w:p w14:paraId="6A7BC9EC">
            <w:pPr>
              <w:pStyle w:val="12"/>
              <w:spacing w:before="72" w:line="360" w:lineRule="auto"/>
              <w:ind w:left="140"/>
              <w:rPr>
                <w:sz w:val="18"/>
                <w:szCs w:val="18"/>
                <w:highlight w:val="none"/>
              </w:rPr>
            </w:pPr>
            <w:r>
              <w:rPr>
                <w:spacing w:val="-8"/>
                <w:sz w:val="18"/>
                <w:szCs w:val="18"/>
                <w:highlight w:val="none"/>
              </w:rPr>
              <w:t>校艺术团，</w:t>
            </w:r>
          </w:p>
          <w:p w14:paraId="7262CCC1">
            <w:pPr>
              <w:pStyle w:val="12"/>
              <w:spacing w:before="97" w:line="360" w:lineRule="auto"/>
              <w:ind w:left="140"/>
              <w:rPr>
                <w:sz w:val="18"/>
                <w:szCs w:val="18"/>
                <w:highlight w:val="none"/>
              </w:rPr>
            </w:pPr>
            <w:r>
              <w:rPr>
                <w:spacing w:val="-2"/>
                <w:sz w:val="18"/>
                <w:szCs w:val="18"/>
                <w:highlight w:val="none"/>
              </w:rPr>
              <w:t>校广播台部</w:t>
            </w:r>
          </w:p>
          <w:p w14:paraId="2C0CF3B7">
            <w:pPr>
              <w:pStyle w:val="12"/>
              <w:spacing w:before="97" w:line="360" w:lineRule="auto"/>
              <w:ind w:left="251"/>
              <w:rPr>
                <w:sz w:val="18"/>
                <w:szCs w:val="18"/>
                <w:highlight w:val="none"/>
              </w:rPr>
            </w:pPr>
            <w:r>
              <w:rPr>
                <w:spacing w:val="-6"/>
                <w:sz w:val="18"/>
                <w:szCs w:val="18"/>
                <w:highlight w:val="none"/>
              </w:rPr>
              <w:t>门副部长</w:t>
            </w:r>
          </w:p>
          <w:p w14:paraId="00D9AC94">
            <w:pPr>
              <w:pStyle w:val="12"/>
              <w:spacing w:before="97" w:line="360" w:lineRule="auto"/>
              <w:ind w:left="140"/>
              <w:rPr>
                <w:sz w:val="18"/>
                <w:szCs w:val="18"/>
                <w:highlight w:val="none"/>
              </w:rPr>
            </w:pPr>
            <w:r>
              <w:rPr>
                <w:spacing w:val="-2"/>
                <w:sz w:val="18"/>
                <w:szCs w:val="18"/>
                <w:highlight w:val="none"/>
              </w:rPr>
              <w:t>新闻社部门</w:t>
            </w:r>
          </w:p>
          <w:p w14:paraId="57C452D8">
            <w:pPr>
              <w:pStyle w:val="12"/>
              <w:spacing w:before="97" w:line="360" w:lineRule="auto"/>
              <w:ind w:left="323"/>
              <w:rPr>
                <w:sz w:val="18"/>
                <w:szCs w:val="18"/>
                <w:highlight w:val="none"/>
              </w:rPr>
            </w:pPr>
            <w:r>
              <w:rPr>
                <w:spacing w:val="-3"/>
                <w:sz w:val="18"/>
                <w:szCs w:val="18"/>
                <w:highlight w:val="none"/>
              </w:rPr>
              <w:t>副部长</w:t>
            </w:r>
          </w:p>
          <w:p w14:paraId="0511B399">
            <w:pPr>
              <w:pStyle w:val="12"/>
              <w:spacing w:before="98" w:line="360" w:lineRule="auto"/>
              <w:ind w:left="151"/>
              <w:rPr>
                <w:sz w:val="18"/>
                <w:szCs w:val="18"/>
                <w:highlight w:val="none"/>
              </w:rPr>
            </w:pPr>
            <w:r>
              <w:rPr>
                <w:spacing w:val="-4"/>
                <w:sz w:val="18"/>
                <w:szCs w:val="18"/>
                <w:highlight w:val="none"/>
              </w:rPr>
              <w:t>院艺术团副</w:t>
            </w:r>
          </w:p>
          <w:p w14:paraId="7AA28C09">
            <w:pPr>
              <w:pStyle w:val="12"/>
              <w:spacing w:before="98" w:line="360" w:lineRule="auto"/>
              <w:ind w:left="427"/>
              <w:rPr>
                <w:sz w:val="18"/>
                <w:szCs w:val="18"/>
                <w:highlight w:val="none"/>
              </w:rPr>
            </w:pPr>
            <w:r>
              <w:rPr>
                <w:spacing w:val="-6"/>
                <w:sz w:val="18"/>
                <w:szCs w:val="18"/>
                <w:highlight w:val="none"/>
              </w:rPr>
              <w:t>团长</w:t>
            </w:r>
          </w:p>
          <w:p w14:paraId="50F151DD">
            <w:pPr>
              <w:pStyle w:val="12"/>
              <w:spacing w:before="96" w:line="360" w:lineRule="auto"/>
              <w:ind w:left="151"/>
              <w:rPr>
                <w:sz w:val="18"/>
                <w:szCs w:val="18"/>
                <w:highlight w:val="none"/>
              </w:rPr>
            </w:pPr>
            <w:r>
              <w:rPr>
                <w:spacing w:val="-4"/>
                <w:sz w:val="18"/>
                <w:szCs w:val="18"/>
                <w:highlight w:val="none"/>
              </w:rPr>
              <w:t>院艺术团各</w:t>
            </w:r>
          </w:p>
          <w:p w14:paraId="2F378CFD">
            <w:pPr>
              <w:pStyle w:val="12"/>
              <w:spacing w:before="98" w:line="360" w:lineRule="auto"/>
              <w:ind w:left="333"/>
              <w:rPr>
                <w:sz w:val="18"/>
                <w:szCs w:val="18"/>
                <w:highlight w:val="none"/>
              </w:rPr>
            </w:pPr>
            <w:r>
              <w:rPr>
                <w:spacing w:val="-5"/>
                <w:sz w:val="18"/>
                <w:szCs w:val="18"/>
                <w:highlight w:val="none"/>
              </w:rPr>
              <w:t>队队长</w:t>
            </w:r>
          </w:p>
        </w:tc>
        <w:tc>
          <w:tcPr>
            <w:tcW w:w="1349" w:type="dxa"/>
            <w:vAlign w:val="top"/>
          </w:tcPr>
          <w:p w14:paraId="23000FEE">
            <w:pPr>
              <w:spacing w:line="360" w:lineRule="auto"/>
              <w:rPr>
                <w:rFonts w:ascii="Arial"/>
                <w:sz w:val="21"/>
                <w:highlight w:val="none"/>
              </w:rPr>
            </w:pPr>
          </w:p>
        </w:tc>
        <w:tc>
          <w:tcPr>
            <w:tcW w:w="859" w:type="dxa"/>
            <w:vAlign w:val="top"/>
          </w:tcPr>
          <w:p w14:paraId="0FFEE775">
            <w:pPr>
              <w:spacing w:line="360" w:lineRule="auto"/>
              <w:rPr>
                <w:rFonts w:ascii="Arial"/>
                <w:sz w:val="21"/>
                <w:highlight w:val="none"/>
              </w:rPr>
            </w:pPr>
          </w:p>
          <w:p w14:paraId="5B2D05B7">
            <w:pPr>
              <w:spacing w:line="360" w:lineRule="auto"/>
              <w:rPr>
                <w:rFonts w:ascii="Arial"/>
                <w:sz w:val="21"/>
                <w:highlight w:val="none"/>
              </w:rPr>
            </w:pPr>
          </w:p>
          <w:p w14:paraId="31A154E9">
            <w:pPr>
              <w:spacing w:line="360" w:lineRule="auto"/>
              <w:rPr>
                <w:rFonts w:ascii="Arial"/>
                <w:sz w:val="21"/>
                <w:highlight w:val="none"/>
              </w:rPr>
            </w:pPr>
          </w:p>
          <w:p w14:paraId="05CAC91F">
            <w:pPr>
              <w:spacing w:line="360" w:lineRule="auto"/>
              <w:rPr>
                <w:rFonts w:ascii="Arial"/>
                <w:sz w:val="21"/>
                <w:highlight w:val="none"/>
              </w:rPr>
            </w:pPr>
          </w:p>
          <w:p w14:paraId="5A5B1FFC">
            <w:pPr>
              <w:spacing w:line="360" w:lineRule="auto"/>
              <w:rPr>
                <w:rFonts w:ascii="Arial"/>
                <w:sz w:val="21"/>
                <w:highlight w:val="none"/>
              </w:rPr>
            </w:pPr>
          </w:p>
          <w:p w14:paraId="57985C18">
            <w:pPr>
              <w:pStyle w:val="12"/>
              <w:spacing w:before="58" w:line="360" w:lineRule="auto"/>
              <w:ind w:left="356"/>
              <w:rPr>
                <w:sz w:val="18"/>
                <w:szCs w:val="18"/>
                <w:highlight w:val="none"/>
              </w:rPr>
            </w:pPr>
            <w:r>
              <w:rPr>
                <w:b/>
                <w:bCs/>
                <w:spacing w:val="-7"/>
                <w:sz w:val="18"/>
                <w:szCs w:val="18"/>
                <w:highlight w:val="none"/>
              </w:rPr>
              <w:t>11</w:t>
            </w:r>
          </w:p>
        </w:tc>
      </w:tr>
    </w:tbl>
    <w:p w14:paraId="0F919C5B">
      <w:pPr>
        <w:spacing w:line="360" w:lineRule="auto"/>
        <w:rPr>
          <w:rFonts w:ascii="Arial"/>
          <w:sz w:val="21"/>
          <w:highlight w:val="none"/>
        </w:rPr>
      </w:pPr>
    </w:p>
    <w:p w14:paraId="0CFCA746">
      <w:pPr>
        <w:spacing w:line="360" w:lineRule="auto"/>
        <w:rPr>
          <w:rFonts w:ascii="Arial" w:hAnsi="Arial" w:eastAsia="Arial" w:cs="Arial"/>
          <w:sz w:val="21"/>
          <w:szCs w:val="21"/>
          <w:highlight w:val="none"/>
        </w:rPr>
        <w:sectPr>
          <w:footerReference r:id="rId7" w:type="default"/>
          <w:pgSz w:w="11907" w:h="16839"/>
          <w:pgMar w:top="1431" w:right="1582" w:bottom="954" w:left="1582" w:header="0" w:footer="793" w:gutter="0"/>
          <w:pgNumType w:fmt="decimal"/>
          <w:cols w:space="720" w:num="1"/>
        </w:sectPr>
      </w:pPr>
    </w:p>
    <w:p w14:paraId="531F85D2">
      <w:pPr>
        <w:spacing w:line="360" w:lineRule="auto"/>
        <w:rPr>
          <w:rFonts w:ascii="Arial"/>
          <w:sz w:val="2"/>
          <w:highlight w:val="none"/>
        </w:rPr>
      </w:pPr>
    </w:p>
    <w:tbl>
      <w:tblPr>
        <w:tblStyle w:val="11"/>
        <w:tblW w:w="873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1"/>
        <w:gridCol w:w="847"/>
        <w:gridCol w:w="900"/>
        <w:gridCol w:w="832"/>
        <w:gridCol w:w="1087"/>
        <w:gridCol w:w="962"/>
        <w:gridCol w:w="1170"/>
        <w:gridCol w:w="1349"/>
        <w:gridCol w:w="859"/>
      </w:tblGrid>
      <w:tr w14:paraId="2ABFD9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7" w:hRule="atLeast"/>
        </w:trPr>
        <w:tc>
          <w:tcPr>
            <w:tcW w:w="731" w:type="dxa"/>
            <w:vAlign w:val="top"/>
          </w:tcPr>
          <w:p w14:paraId="06C6EB31">
            <w:pPr>
              <w:spacing w:line="360" w:lineRule="auto"/>
              <w:rPr>
                <w:rFonts w:ascii="Arial"/>
                <w:sz w:val="21"/>
                <w:highlight w:val="none"/>
              </w:rPr>
            </w:pPr>
          </w:p>
        </w:tc>
        <w:tc>
          <w:tcPr>
            <w:tcW w:w="847" w:type="dxa"/>
            <w:vAlign w:val="top"/>
          </w:tcPr>
          <w:p w14:paraId="5B197574">
            <w:pPr>
              <w:pStyle w:val="12"/>
              <w:spacing w:before="70" w:line="360" w:lineRule="auto"/>
              <w:ind w:left="110"/>
              <w:rPr>
                <w:sz w:val="18"/>
                <w:szCs w:val="18"/>
                <w:highlight w:val="none"/>
              </w:rPr>
            </w:pPr>
            <w:r>
              <w:rPr>
                <w:spacing w:val="-20"/>
                <w:w w:val="97"/>
                <w:sz w:val="18"/>
                <w:szCs w:val="18"/>
                <w:highlight w:val="none"/>
              </w:rPr>
              <w:t>任、部长</w:t>
            </w:r>
          </w:p>
        </w:tc>
        <w:tc>
          <w:tcPr>
            <w:tcW w:w="900" w:type="dxa"/>
            <w:vAlign w:val="top"/>
          </w:tcPr>
          <w:p w14:paraId="5CB4259D">
            <w:pPr>
              <w:spacing w:line="360" w:lineRule="auto"/>
              <w:rPr>
                <w:rFonts w:ascii="Arial"/>
                <w:sz w:val="21"/>
                <w:highlight w:val="none"/>
              </w:rPr>
            </w:pPr>
          </w:p>
        </w:tc>
        <w:tc>
          <w:tcPr>
            <w:tcW w:w="832" w:type="dxa"/>
            <w:vAlign w:val="top"/>
          </w:tcPr>
          <w:p w14:paraId="6601E559">
            <w:pPr>
              <w:spacing w:line="360" w:lineRule="auto"/>
              <w:rPr>
                <w:rFonts w:ascii="Arial"/>
                <w:sz w:val="21"/>
                <w:highlight w:val="none"/>
              </w:rPr>
            </w:pPr>
          </w:p>
        </w:tc>
        <w:tc>
          <w:tcPr>
            <w:tcW w:w="1087" w:type="dxa"/>
            <w:vAlign w:val="top"/>
          </w:tcPr>
          <w:p w14:paraId="57816E65">
            <w:pPr>
              <w:spacing w:line="360" w:lineRule="auto"/>
              <w:rPr>
                <w:rFonts w:ascii="Arial"/>
                <w:sz w:val="21"/>
                <w:highlight w:val="none"/>
              </w:rPr>
            </w:pPr>
          </w:p>
        </w:tc>
        <w:tc>
          <w:tcPr>
            <w:tcW w:w="962" w:type="dxa"/>
            <w:vAlign w:val="top"/>
          </w:tcPr>
          <w:p w14:paraId="40FC1DB8">
            <w:pPr>
              <w:spacing w:line="360" w:lineRule="auto"/>
              <w:rPr>
                <w:rFonts w:ascii="Arial"/>
                <w:sz w:val="21"/>
                <w:highlight w:val="none"/>
              </w:rPr>
            </w:pPr>
          </w:p>
        </w:tc>
        <w:tc>
          <w:tcPr>
            <w:tcW w:w="1170" w:type="dxa"/>
            <w:vAlign w:val="top"/>
          </w:tcPr>
          <w:p w14:paraId="1E1F2D1E">
            <w:pPr>
              <w:pStyle w:val="12"/>
              <w:spacing w:before="72" w:line="360" w:lineRule="auto"/>
              <w:ind w:left="424" w:right="132" w:hanging="284"/>
              <w:rPr>
                <w:sz w:val="18"/>
                <w:szCs w:val="18"/>
                <w:highlight w:val="none"/>
              </w:rPr>
            </w:pPr>
            <w:r>
              <w:rPr>
                <w:spacing w:val="-2"/>
                <w:sz w:val="18"/>
                <w:szCs w:val="18"/>
                <w:highlight w:val="none"/>
              </w:rPr>
              <w:t>校辩论队副</w:t>
            </w:r>
            <w:r>
              <w:rPr>
                <w:spacing w:val="-6"/>
                <w:sz w:val="18"/>
                <w:szCs w:val="18"/>
                <w:highlight w:val="none"/>
              </w:rPr>
              <w:t>队长</w:t>
            </w:r>
          </w:p>
          <w:p w14:paraId="3AFA934F">
            <w:pPr>
              <w:pStyle w:val="12"/>
              <w:spacing w:before="22" w:line="360" w:lineRule="auto"/>
              <w:ind w:left="499" w:right="132" w:hanging="348"/>
              <w:rPr>
                <w:sz w:val="18"/>
                <w:szCs w:val="18"/>
                <w:highlight w:val="none"/>
              </w:rPr>
            </w:pPr>
            <w:r>
              <w:rPr>
                <w:spacing w:val="-4"/>
                <w:sz w:val="18"/>
                <w:szCs w:val="18"/>
                <w:highlight w:val="none"/>
              </w:rPr>
              <w:t>院辩论队队</w:t>
            </w:r>
            <w:r>
              <w:rPr>
                <w:sz w:val="18"/>
                <w:szCs w:val="18"/>
                <w:highlight w:val="none"/>
              </w:rPr>
              <w:t>长</w:t>
            </w:r>
          </w:p>
        </w:tc>
        <w:tc>
          <w:tcPr>
            <w:tcW w:w="1349" w:type="dxa"/>
            <w:vAlign w:val="top"/>
          </w:tcPr>
          <w:p w14:paraId="7E6CC4C5">
            <w:pPr>
              <w:spacing w:line="360" w:lineRule="auto"/>
              <w:rPr>
                <w:rFonts w:ascii="Arial"/>
                <w:sz w:val="21"/>
                <w:highlight w:val="none"/>
              </w:rPr>
            </w:pPr>
          </w:p>
        </w:tc>
        <w:tc>
          <w:tcPr>
            <w:tcW w:w="859" w:type="dxa"/>
            <w:vAlign w:val="top"/>
          </w:tcPr>
          <w:p w14:paraId="1FB1CF5B">
            <w:pPr>
              <w:spacing w:line="360" w:lineRule="auto"/>
              <w:rPr>
                <w:rFonts w:ascii="Arial"/>
                <w:sz w:val="21"/>
                <w:highlight w:val="none"/>
              </w:rPr>
            </w:pPr>
          </w:p>
        </w:tc>
      </w:tr>
      <w:tr w14:paraId="79998A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3" w:hRule="atLeast"/>
        </w:trPr>
        <w:tc>
          <w:tcPr>
            <w:tcW w:w="731" w:type="dxa"/>
            <w:vAlign w:val="top"/>
          </w:tcPr>
          <w:p w14:paraId="0ECB2E68">
            <w:pPr>
              <w:spacing w:line="360" w:lineRule="auto"/>
              <w:rPr>
                <w:rFonts w:ascii="Arial"/>
                <w:sz w:val="21"/>
                <w:highlight w:val="none"/>
              </w:rPr>
            </w:pPr>
          </w:p>
          <w:p w14:paraId="28AF8D73">
            <w:pPr>
              <w:spacing w:line="360" w:lineRule="auto"/>
              <w:rPr>
                <w:rFonts w:ascii="Arial"/>
                <w:sz w:val="21"/>
                <w:highlight w:val="none"/>
              </w:rPr>
            </w:pPr>
          </w:p>
          <w:p w14:paraId="4A865DF6">
            <w:pPr>
              <w:pStyle w:val="12"/>
              <w:spacing w:before="58" w:line="360" w:lineRule="auto"/>
              <w:ind w:left="281"/>
              <w:rPr>
                <w:sz w:val="18"/>
                <w:szCs w:val="18"/>
                <w:highlight w:val="none"/>
              </w:rPr>
            </w:pPr>
            <w:r>
              <w:rPr>
                <w:b/>
                <w:bCs/>
                <w:spacing w:val="-2"/>
                <w:sz w:val="18"/>
                <w:szCs w:val="18"/>
                <w:highlight w:val="none"/>
              </w:rPr>
              <w:t>六</w:t>
            </w:r>
          </w:p>
        </w:tc>
        <w:tc>
          <w:tcPr>
            <w:tcW w:w="847" w:type="dxa"/>
            <w:vAlign w:val="top"/>
          </w:tcPr>
          <w:p w14:paraId="168A5A2C">
            <w:pPr>
              <w:spacing w:line="360" w:lineRule="auto"/>
              <w:rPr>
                <w:rFonts w:ascii="Arial"/>
                <w:sz w:val="21"/>
                <w:highlight w:val="none"/>
              </w:rPr>
            </w:pPr>
          </w:p>
          <w:p w14:paraId="39AEDCBC">
            <w:pPr>
              <w:pStyle w:val="12"/>
              <w:spacing w:before="59" w:line="360" w:lineRule="auto"/>
              <w:ind w:left="244" w:right="152" w:hanging="87"/>
              <w:rPr>
                <w:sz w:val="18"/>
                <w:szCs w:val="18"/>
                <w:highlight w:val="none"/>
              </w:rPr>
            </w:pPr>
            <w:r>
              <w:rPr>
                <w:spacing w:val="-3"/>
                <w:sz w:val="18"/>
                <w:szCs w:val="18"/>
                <w:highlight w:val="none"/>
              </w:rPr>
              <w:t>校团委</w:t>
            </w:r>
            <w:r>
              <w:rPr>
                <w:spacing w:val="-2"/>
                <w:sz w:val="18"/>
                <w:szCs w:val="18"/>
                <w:highlight w:val="none"/>
              </w:rPr>
              <w:t>干事</w:t>
            </w:r>
          </w:p>
        </w:tc>
        <w:tc>
          <w:tcPr>
            <w:tcW w:w="900" w:type="dxa"/>
            <w:vAlign w:val="top"/>
          </w:tcPr>
          <w:p w14:paraId="778F9F2D">
            <w:pPr>
              <w:pStyle w:val="12"/>
              <w:spacing w:before="66" w:line="360" w:lineRule="auto"/>
              <w:ind w:left="182" w:right="178" w:firstLine="1"/>
              <w:jc w:val="both"/>
              <w:rPr>
                <w:sz w:val="18"/>
                <w:szCs w:val="18"/>
                <w:highlight w:val="none"/>
              </w:rPr>
            </w:pPr>
            <w:r>
              <w:rPr>
                <w:spacing w:val="-3"/>
                <w:sz w:val="18"/>
                <w:szCs w:val="18"/>
                <w:highlight w:val="none"/>
              </w:rPr>
              <w:t>校学生会民主评议合格的工作人员</w:t>
            </w:r>
          </w:p>
        </w:tc>
        <w:tc>
          <w:tcPr>
            <w:tcW w:w="832" w:type="dxa"/>
            <w:vAlign w:val="top"/>
          </w:tcPr>
          <w:p w14:paraId="68714755">
            <w:pPr>
              <w:spacing w:line="360" w:lineRule="auto"/>
              <w:rPr>
                <w:rFonts w:ascii="Arial"/>
                <w:sz w:val="21"/>
                <w:highlight w:val="none"/>
              </w:rPr>
            </w:pPr>
          </w:p>
          <w:p w14:paraId="5E3AFDB8">
            <w:pPr>
              <w:pStyle w:val="12"/>
              <w:spacing w:before="59" w:line="360" w:lineRule="auto"/>
              <w:ind w:left="167"/>
              <w:rPr>
                <w:sz w:val="18"/>
                <w:szCs w:val="18"/>
                <w:highlight w:val="none"/>
              </w:rPr>
            </w:pPr>
            <w:r>
              <w:rPr>
                <w:spacing w:val="-6"/>
                <w:sz w:val="18"/>
                <w:szCs w:val="18"/>
                <w:highlight w:val="none"/>
              </w:rPr>
              <w:t>国旗护</w:t>
            </w:r>
          </w:p>
          <w:p w14:paraId="5A48216B">
            <w:pPr>
              <w:pStyle w:val="12"/>
              <w:spacing w:before="97" w:line="360" w:lineRule="auto"/>
              <w:ind w:left="151"/>
              <w:rPr>
                <w:sz w:val="18"/>
                <w:szCs w:val="18"/>
                <w:highlight w:val="none"/>
              </w:rPr>
            </w:pPr>
            <w:r>
              <w:rPr>
                <w:spacing w:val="-2"/>
                <w:sz w:val="18"/>
                <w:szCs w:val="18"/>
                <w:highlight w:val="none"/>
              </w:rPr>
              <w:t>卫队队</w:t>
            </w:r>
          </w:p>
          <w:p w14:paraId="326FBD6D">
            <w:pPr>
              <w:pStyle w:val="12"/>
              <w:spacing w:before="94" w:line="360" w:lineRule="auto"/>
              <w:ind w:left="337"/>
              <w:rPr>
                <w:sz w:val="18"/>
                <w:szCs w:val="18"/>
                <w:highlight w:val="none"/>
              </w:rPr>
            </w:pPr>
            <w:r>
              <w:rPr>
                <w:sz w:val="18"/>
                <w:szCs w:val="18"/>
                <w:highlight w:val="none"/>
              </w:rPr>
              <w:t>员</w:t>
            </w:r>
          </w:p>
        </w:tc>
        <w:tc>
          <w:tcPr>
            <w:tcW w:w="1087" w:type="dxa"/>
            <w:vAlign w:val="top"/>
          </w:tcPr>
          <w:p w14:paraId="4B3F2055">
            <w:pPr>
              <w:spacing w:line="360" w:lineRule="auto"/>
              <w:rPr>
                <w:rFonts w:ascii="Arial"/>
                <w:sz w:val="21"/>
                <w:highlight w:val="none"/>
              </w:rPr>
            </w:pPr>
          </w:p>
          <w:p w14:paraId="4FC5ACF4">
            <w:pPr>
              <w:pStyle w:val="12"/>
              <w:spacing w:before="59" w:line="360" w:lineRule="auto"/>
              <w:ind w:left="459" w:right="179" w:hanging="269"/>
              <w:rPr>
                <w:sz w:val="18"/>
                <w:szCs w:val="18"/>
                <w:highlight w:val="none"/>
              </w:rPr>
            </w:pPr>
            <w:r>
              <w:rPr>
                <w:spacing w:val="-2"/>
                <w:sz w:val="18"/>
                <w:szCs w:val="18"/>
                <w:highlight w:val="none"/>
              </w:rPr>
              <w:t>其他班团</w:t>
            </w:r>
            <w:r>
              <w:rPr>
                <w:sz w:val="18"/>
                <w:szCs w:val="18"/>
                <w:highlight w:val="none"/>
              </w:rPr>
              <w:t>干</w:t>
            </w:r>
          </w:p>
        </w:tc>
        <w:tc>
          <w:tcPr>
            <w:tcW w:w="962" w:type="dxa"/>
            <w:vAlign w:val="top"/>
          </w:tcPr>
          <w:p w14:paraId="1FC83DE0">
            <w:pPr>
              <w:pStyle w:val="12"/>
              <w:spacing w:before="223" w:line="360" w:lineRule="auto"/>
              <w:ind w:left="125" w:right="119"/>
              <w:rPr>
                <w:sz w:val="18"/>
                <w:szCs w:val="18"/>
                <w:highlight w:val="none"/>
              </w:rPr>
            </w:pPr>
            <w:r>
              <w:rPr>
                <w:spacing w:val="-2"/>
                <w:sz w:val="18"/>
                <w:szCs w:val="18"/>
                <w:highlight w:val="none"/>
              </w:rPr>
              <w:t>校青协、红会干事院青红联合会部长</w:t>
            </w:r>
          </w:p>
        </w:tc>
        <w:tc>
          <w:tcPr>
            <w:tcW w:w="1170" w:type="dxa"/>
            <w:vAlign w:val="top"/>
          </w:tcPr>
          <w:p w14:paraId="3B156AB2">
            <w:pPr>
              <w:pStyle w:val="12"/>
              <w:spacing w:before="66" w:line="360" w:lineRule="auto"/>
              <w:ind w:left="153" w:right="132" w:hanging="2"/>
              <w:rPr>
                <w:sz w:val="18"/>
                <w:szCs w:val="18"/>
                <w:highlight w:val="none"/>
              </w:rPr>
            </w:pPr>
            <w:r>
              <w:rPr>
                <w:spacing w:val="-4"/>
                <w:sz w:val="18"/>
                <w:szCs w:val="18"/>
                <w:highlight w:val="none"/>
              </w:rPr>
              <w:t>院艺术团各</w:t>
            </w:r>
            <w:r>
              <w:rPr>
                <w:spacing w:val="-11"/>
                <w:sz w:val="18"/>
                <w:szCs w:val="18"/>
                <w:highlight w:val="none"/>
              </w:rPr>
              <w:t>队副队长；</w:t>
            </w:r>
          </w:p>
          <w:p w14:paraId="530AA462">
            <w:pPr>
              <w:pStyle w:val="12"/>
              <w:spacing w:before="25" w:line="360" w:lineRule="auto"/>
              <w:ind w:left="143"/>
              <w:rPr>
                <w:sz w:val="18"/>
                <w:szCs w:val="18"/>
                <w:highlight w:val="none"/>
              </w:rPr>
            </w:pPr>
            <w:r>
              <w:rPr>
                <w:spacing w:val="-2"/>
                <w:sz w:val="18"/>
                <w:szCs w:val="18"/>
                <w:highlight w:val="none"/>
              </w:rPr>
              <w:t>学工部学生</w:t>
            </w:r>
          </w:p>
          <w:p w14:paraId="7F5029AC">
            <w:pPr>
              <w:pStyle w:val="12"/>
              <w:spacing w:before="97" w:line="360" w:lineRule="auto"/>
              <w:ind w:left="139"/>
              <w:rPr>
                <w:sz w:val="18"/>
                <w:szCs w:val="18"/>
                <w:highlight w:val="none"/>
              </w:rPr>
            </w:pPr>
            <w:r>
              <w:rPr>
                <w:spacing w:val="-2"/>
                <w:sz w:val="18"/>
                <w:szCs w:val="18"/>
                <w:highlight w:val="none"/>
              </w:rPr>
              <w:t>助理；辩论</w:t>
            </w:r>
          </w:p>
          <w:p w14:paraId="560EB8E4">
            <w:pPr>
              <w:pStyle w:val="12"/>
              <w:spacing w:before="97" w:line="360" w:lineRule="auto"/>
              <w:ind w:left="245"/>
              <w:rPr>
                <w:sz w:val="18"/>
                <w:szCs w:val="18"/>
                <w:highlight w:val="none"/>
              </w:rPr>
            </w:pPr>
            <w:r>
              <w:rPr>
                <w:spacing w:val="-4"/>
                <w:sz w:val="18"/>
                <w:szCs w:val="18"/>
                <w:highlight w:val="none"/>
              </w:rPr>
              <w:t>队副队长</w:t>
            </w:r>
          </w:p>
        </w:tc>
        <w:tc>
          <w:tcPr>
            <w:tcW w:w="1349" w:type="dxa"/>
            <w:vAlign w:val="top"/>
          </w:tcPr>
          <w:p w14:paraId="4C46B58D">
            <w:pPr>
              <w:spacing w:line="360" w:lineRule="auto"/>
              <w:rPr>
                <w:rFonts w:ascii="Arial"/>
                <w:sz w:val="21"/>
                <w:highlight w:val="none"/>
              </w:rPr>
            </w:pPr>
          </w:p>
          <w:p w14:paraId="65E75A54">
            <w:pPr>
              <w:pStyle w:val="12"/>
              <w:spacing w:before="59" w:line="360" w:lineRule="auto"/>
              <w:ind w:left="144"/>
              <w:rPr>
                <w:color w:val="auto"/>
                <w:sz w:val="18"/>
                <w:szCs w:val="18"/>
                <w:highlight w:val="none"/>
              </w:rPr>
            </w:pPr>
            <w:r>
              <w:rPr>
                <w:color w:val="auto"/>
                <w:spacing w:val="-2"/>
                <w:sz w:val="18"/>
                <w:szCs w:val="18"/>
                <w:highlight w:val="none"/>
              </w:rPr>
              <w:t>其他校内组织</w:t>
            </w:r>
          </w:p>
          <w:p w14:paraId="203BDA8E">
            <w:pPr>
              <w:pStyle w:val="12"/>
              <w:spacing w:before="97" w:line="360" w:lineRule="auto"/>
              <w:ind w:left="143"/>
              <w:rPr>
                <w:color w:val="auto"/>
                <w:sz w:val="18"/>
                <w:szCs w:val="18"/>
                <w:highlight w:val="none"/>
              </w:rPr>
            </w:pPr>
            <w:r>
              <w:rPr>
                <w:color w:val="auto"/>
                <w:spacing w:val="-1"/>
                <w:sz w:val="18"/>
                <w:szCs w:val="18"/>
                <w:highlight w:val="none"/>
              </w:rPr>
              <w:t>第二层级负责</w:t>
            </w:r>
          </w:p>
          <w:p w14:paraId="19513B21">
            <w:pPr>
              <w:pStyle w:val="12"/>
              <w:spacing w:before="98" w:line="360" w:lineRule="auto"/>
              <w:ind w:left="593"/>
              <w:rPr>
                <w:sz w:val="18"/>
                <w:szCs w:val="18"/>
                <w:highlight w:val="none"/>
              </w:rPr>
            </w:pPr>
            <w:r>
              <w:rPr>
                <w:color w:val="auto"/>
                <w:sz w:val="18"/>
                <w:szCs w:val="18"/>
                <w:highlight w:val="none"/>
              </w:rPr>
              <w:t>人</w:t>
            </w:r>
          </w:p>
        </w:tc>
        <w:tc>
          <w:tcPr>
            <w:tcW w:w="859" w:type="dxa"/>
            <w:vAlign w:val="top"/>
          </w:tcPr>
          <w:p w14:paraId="01DD5CD3">
            <w:pPr>
              <w:spacing w:line="360" w:lineRule="auto"/>
              <w:rPr>
                <w:rFonts w:ascii="Arial"/>
                <w:sz w:val="21"/>
                <w:highlight w:val="none"/>
              </w:rPr>
            </w:pPr>
          </w:p>
          <w:p w14:paraId="62F7E28D">
            <w:pPr>
              <w:spacing w:line="360" w:lineRule="auto"/>
              <w:rPr>
                <w:rFonts w:ascii="Arial"/>
                <w:sz w:val="21"/>
                <w:highlight w:val="none"/>
              </w:rPr>
            </w:pPr>
          </w:p>
          <w:p w14:paraId="1BE8ECFC">
            <w:pPr>
              <w:pStyle w:val="12"/>
              <w:spacing w:before="59" w:line="360" w:lineRule="auto"/>
              <w:ind w:left="356"/>
              <w:rPr>
                <w:sz w:val="18"/>
                <w:szCs w:val="18"/>
                <w:highlight w:val="none"/>
              </w:rPr>
            </w:pPr>
            <w:r>
              <w:rPr>
                <w:b/>
                <w:bCs/>
                <w:spacing w:val="-7"/>
                <w:sz w:val="18"/>
                <w:szCs w:val="18"/>
                <w:highlight w:val="none"/>
              </w:rPr>
              <w:t>10</w:t>
            </w:r>
          </w:p>
        </w:tc>
      </w:tr>
      <w:tr w14:paraId="08D17C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7" w:hRule="atLeast"/>
        </w:trPr>
        <w:tc>
          <w:tcPr>
            <w:tcW w:w="731" w:type="dxa"/>
            <w:vAlign w:val="top"/>
          </w:tcPr>
          <w:p w14:paraId="4BDFBCE4">
            <w:pPr>
              <w:spacing w:line="360" w:lineRule="auto"/>
              <w:rPr>
                <w:rFonts w:ascii="Arial"/>
                <w:sz w:val="21"/>
                <w:highlight w:val="none"/>
              </w:rPr>
            </w:pPr>
          </w:p>
          <w:p w14:paraId="4E4A5242">
            <w:pPr>
              <w:spacing w:line="360" w:lineRule="auto"/>
              <w:rPr>
                <w:rFonts w:ascii="Arial"/>
                <w:sz w:val="21"/>
                <w:highlight w:val="none"/>
              </w:rPr>
            </w:pPr>
          </w:p>
          <w:p w14:paraId="7D0D3301">
            <w:pPr>
              <w:spacing w:line="360" w:lineRule="auto"/>
              <w:rPr>
                <w:rFonts w:ascii="Arial"/>
                <w:sz w:val="21"/>
                <w:highlight w:val="none"/>
              </w:rPr>
            </w:pPr>
          </w:p>
          <w:p w14:paraId="7AF9C50D">
            <w:pPr>
              <w:pStyle w:val="12"/>
              <w:spacing w:before="59" w:line="360" w:lineRule="auto"/>
              <w:ind w:left="279"/>
              <w:rPr>
                <w:sz w:val="18"/>
                <w:szCs w:val="18"/>
                <w:highlight w:val="none"/>
              </w:rPr>
            </w:pPr>
            <w:r>
              <w:rPr>
                <w:b/>
                <w:bCs/>
                <w:spacing w:val="-2"/>
                <w:sz w:val="18"/>
                <w:szCs w:val="18"/>
                <w:highlight w:val="none"/>
              </w:rPr>
              <w:t>七</w:t>
            </w:r>
          </w:p>
        </w:tc>
        <w:tc>
          <w:tcPr>
            <w:tcW w:w="847" w:type="dxa"/>
            <w:vAlign w:val="top"/>
          </w:tcPr>
          <w:p w14:paraId="2F37E11F">
            <w:pPr>
              <w:spacing w:line="360" w:lineRule="auto"/>
              <w:rPr>
                <w:rFonts w:ascii="Arial"/>
                <w:sz w:val="21"/>
                <w:highlight w:val="none"/>
              </w:rPr>
            </w:pPr>
          </w:p>
          <w:p w14:paraId="05FAFDB3">
            <w:pPr>
              <w:pStyle w:val="12"/>
              <w:spacing w:before="58" w:line="360" w:lineRule="auto"/>
              <w:ind w:left="110" w:right="106" w:firstLine="58"/>
              <w:jc w:val="both"/>
              <w:rPr>
                <w:sz w:val="18"/>
                <w:szCs w:val="18"/>
                <w:highlight w:val="none"/>
              </w:rPr>
            </w:pPr>
            <w:r>
              <w:rPr>
                <w:spacing w:val="-7"/>
                <w:sz w:val="18"/>
                <w:szCs w:val="18"/>
                <w:highlight w:val="none"/>
              </w:rPr>
              <w:t>院团委</w:t>
            </w:r>
            <w:r>
              <w:rPr>
                <w:spacing w:val="-2"/>
                <w:sz w:val="18"/>
                <w:szCs w:val="18"/>
                <w:highlight w:val="none"/>
              </w:rPr>
              <w:t>干事,党</w:t>
            </w:r>
            <w:r>
              <w:rPr>
                <w:spacing w:val="13"/>
                <w:sz w:val="18"/>
                <w:szCs w:val="18"/>
                <w:highlight w:val="none"/>
              </w:rPr>
              <w:t>建工作室副部</w:t>
            </w:r>
            <w:r>
              <w:rPr>
                <w:spacing w:val="-19"/>
                <w:w w:val="97"/>
                <w:sz w:val="18"/>
                <w:szCs w:val="18"/>
                <w:highlight w:val="none"/>
              </w:rPr>
              <w:t>长、干事</w:t>
            </w:r>
          </w:p>
        </w:tc>
        <w:tc>
          <w:tcPr>
            <w:tcW w:w="900" w:type="dxa"/>
            <w:vAlign w:val="top"/>
          </w:tcPr>
          <w:p w14:paraId="53E7DEE3">
            <w:pPr>
              <w:spacing w:line="360" w:lineRule="auto"/>
              <w:rPr>
                <w:rFonts w:ascii="Arial"/>
                <w:sz w:val="21"/>
                <w:highlight w:val="none"/>
              </w:rPr>
            </w:pPr>
          </w:p>
          <w:p w14:paraId="6D0CB3DF">
            <w:pPr>
              <w:pStyle w:val="12"/>
              <w:spacing w:before="59" w:line="360" w:lineRule="auto"/>
              <w:ind w:left="182" w:right="178" w:firstLine="12"/>
              <w:jc w:val="both"/>
              <w:rPr>
                <w:sz w:val="18"/>
                <w:szCs w:val="18"/>
                <w:highlight w:val="none"/>
              </w:rPr>
            </w:pPr>
            <w:r>
              <w:rPr>
                <w:spacing w:val="-7"/>
                <w:sz w:val="18"/>
                <w:szCs w:val="18"/>
                <w:highlight w:val="none"/>
              </w:rPr>
              <w:t>院学生</w:t>
            </w:r>
            <w:r>
              <w:rPr>
                <w:spacing w:val="-3"/>
                <w:sz w:val="18"/>
                <w:szCs w:val="18"/>
                <w:highlight w:val="none"/>
              </w:rPr>
              <w:t>会民主评议合格的工作人员</w:t>
            </w:r>
          </w:p>
        </w:tc>
        <w:tc>
          <w:tcPr>
            <w:tcW w:w="832" w:type="dxa"/>
            <w:vAlign w:val="top"/>
          </w:tcPr>
          <w:p w14:paraId="5BBDFFB3">
            <w:pPr>
              <w:spacing w:line="360" w:lineRule="auto"/>
              <w:rPr>
                <w:rFonts w:ascii="Arial"/>
                <w:sz w:val="21"/>
                <w:highlight w:val="none"/>
              </w:rPr>
            </w:pPr>
          </w:p>
        </w:tc>
        <w:tc>
          <w:tcPr>
            <w:tcW w:w="1087" w:type="dxa"/>
            <w:vAlign w:val="top"/>
          </w:tcPr>
          <w:p w14:paraId="28605488">
            <w:pPr>
              <w:spacing w:line="360" w:lineRule="auto"/>
              <w:rPr>
                <w:rFonts w:ascii="Arial"/>
                <w:sz w:val="21"/>
                <w:highlight w:val="none"/>
              </w:rPr>
            </w:pPr>
          </w:p>
          <w:p w14:paraId="58567D0E">
            <w:pPr>
              <w:spacing w:line="360" w:lineRule="auto"/>
              <w:rPr>
                <w:rFonts w:ascii="Arial"/>
                <w:sz w:val="21"/>
                <w:highlight w:val="none"/>
              </w:rPr>
            </w:pPr>
          </w:p>
          <w:p w14:paraId="35091191">
            <w:pPr>
              <w:pStyle w:val="12"/>
              <w:spacing w:before="58" w:line="360" w:lineRule="auto"/>
              <w:ind w:left="192"/>
              <w:rPr>
                <w:sz w:val="18"/>
                <w:szCs w:val="18"/>
                <w:highlight w:val="none"/>
              </w:rPr>
            </w:pPr>
            <w:r>
              <w:rPr>
                <w:spacing w:val="-2"/>
                <w:sz w:val="18"/>
                <w:szCs w:val="18"/>
                <w:highlight w:val="none"/>
              </w:rPr>
              <w:t>学生助理</w:t>
            </w:r>
          </w:p>
          <w:p w14:paraId="6E49E495">
            <w:pPr>
              <w:pStyle w:val="12"/>
              <w:spacing w:before="97" w:line="360" w:lineRule="auto"/>
              <w:ind w:left="283" w:right="179" w:hanging="89"/>
              <w:rPr>
                <w:sz w:val="18"/>
                <w:szCs w:val="18"/>
                <w:highlight w:val="none"/>
              </w:rPr>
            </w:pPr>
            <w:r>
              <w:rPr>
                <w:spacing w:val="-3"/>
                <w:sz w:val="18"/>
                <w:szCs w:val="18"/>
                <w:highlight w:val="none"/>
              </w:rPr>
              <w:t>（需满一</w:t>
            </w:r>
            <w:r>
              <w:rPr>
                <w:spacing w:val="-5"/>
                <w:sz w:val="18"/>
                <w:szCs w:val="18"/>
                <w:highlight w:val="none"/>
              </w:rPr>
              <w:t>学期）</w:t>
            </w:r>
          </w:p>
        </w:tc>
        <w:tc>
          <w:tcPr>
            <w:tcW w:w="962" w:type="dxa"/>
            <w:vAlign w:val="top"/>
          </w:tcPr>
          <w:p w14:paraId="327DFDB0">
            <w:pPr>
              <w:spacing w:line="360" w:lineRule="auto"/>
              <w:rPr>
                <w:rFonts w:ascii="Arial"/>
                <w:sz w:val="21"/>
                <w:highlight w:val="none"/>
              </w:rPr>
            </w:pPr>
          </w:p>
          <w:p w14:paraId="7F78E8F7">
            <w:pPr>
              <w:spacing w:line="360" w:lineRule="auto"/>
              <w:rPr>
                <w:rFonts w:ascii="Arial"/>
                <w:sz w:val="21"/>
                <w:highlight w:val="none"/>
              </w:rPr>
            </w:pPr>
          </w:p>
          <w:p w14:paraId="0D6D9027">
            <w:pPr>
              <w:pStyle w:val="12"/>
              <w:spacing w:before="59" w:line="360" w:lineRule="auto"/>
              <w:ind w:left="136"/>
              <w:rPr>
                <w:sz w:val="18"/>
                <w:szCs w:val="18"/>
                <w:highlight w:val="none"/>
              </w:rPr>
            </w:pPr>
            <w:r>
              <w:rPr>
                <w:spacing w:val="-4"/>
                <w:sz w:val="18"/>
                <w:szCs w:val="18"/>
                <w:highlight w:val="none"/>
              </w:rPr>
              <w:t>院青红联</w:t>
            </w:r>
          </w:p>
          <w:p w14:paraId="0BF73562">
            <w:pPr>
              <w:pStyle w:val="12"/>
              <w:spacing w:before="99" w:line="360" w:lineRule="auto"/>
              <w:ind w:left="125"/>
              <w:rPr>
                <w:sz w:val="18"/>
                <w:szCs w:val="18"/>
                <w:highlight w:val="none"/>
              </w:rPr>
            </w:pPr>
            <w:r>
              <w:rPr>
                <w:spacing w:val="-2"/>
                <w:sz w:val="18"/>
                <w:szCs w:val="18"/>
                <w:highlight w:val="none"/>
              </w:rPr>
              <w:t>合会副部</w:t>
            </w:r>
          </w:p>
          <w:p w14:paraId="027E3D96">
            <w:pPr>
              <w:pStyle w:val="12"/>
              <w:spacing w:before="98" w:line="360" w:lineRule="auto"/>
              <w:ind w:left="397"/>
              <w:rPr>
                <w:sz w:val="18"/>
                <w:szCs w:val="18"/>
                <w:highlight w:val="none"/>
              </w:rPr>
            </w:pPr>
            <w:r>
              <w:rPr>
                <w:sz w:val="18"/>
                <w:szCs w:val="18"/>
                <w:highlight w:val="none"/>
              </w:rPr>
              <w:t>长</w:t>
            </w:r>
          </w:p>
        </w:tc>
        <w:tc>
          <w:tcPr>
            <w:tcW w:w="1170" w:type="dxa"/>
            <w:vAlign w:val="top"/>
          </w:tcPr>
          <w:p w14:paraId="13E4A564">
            <w:pPr>
              <w:spacing w:line="360" w:lineRule="auto"/>
              <w:rPr>
                <w:rFonts w:ascii="Arial"/>
                <w:sz w:val="21"/>
                <w:highlight w:val="none"/>
              </w:rPr>
            </w:pPr>
          </w:p>
          <w:p w14:paraId="0EB997E6">
            <w:pPr>
              <w:spacing w:line="360" w:lineRule="auto"/>
              <w:rPr>
                <w:rFonts w:ascii="Arial"/>
                <w:sz w:val="21"/>
                <w:highlight w:val="none"/>
              </w:rPr>
            </w:pPr>
          </w:p>
          <w:p w14:paraId="18DD9C2B">
            <w:pPr>
              <w:pStyle w:val="12"/>
              <w:spacing w:before="59" w:line="360" w:lineRule="auto"/>
              <w:ind w:left="320" w:right="158" w:hanging="180"/>
              <w:rPr>
                <w:sz w:val="18"/>
                <w:szCs w:val="18"/>
                <w:highlight w:val="none"/>
              </w:rPr>
            </w:pPr>
            <w:r>
              <w:rPr>
                <w:spacing w:val="-7"/>
                <w:sz w:val="18"/>
                <w:szCs w:val="18"/>
                <w:highlight w:val="none"/>
              </w:rPr>
              <w:t>校广播台、</w:t>
            </w:r>
            <w:r>
              <w:rPr>
                <w:spacing w:val="-2"/>
                <w:sz w:val="18"/>
                <w:szCs w:val="18"/>
                <w:highlight w:val="none"/>
              </w:rPr>
              <w:t>新闻社</w:t>
            </w:r>
          </w:p>
        </w:tc>
        <w:tc>
          <w:tcPr>
            <w:tcW w:w="1349" w:type="dxa"/>
            <w:vAlign w:val="top"/>
          </w:tcPr>
          <w:p w14:paraId="0F8C5471">
            <w:pPr>
              <w:spacing w:line="360" w:lineRule="auto"/>
              <w:rPr>
                <w:rFonts w:ascii="Arial"/>
                <w:color w:val="auto"/>
                <w:sz w:val="21"/>
                <w:highlight w:val="none"/>
              </w:rPr>
            </w:pPr>
          </w:p>
        </w:tc>
        <w:tc>
          <w:tcPr>
            <w:tcW w:w="859" w:type="dxa"/>
            <w:vAlign w:val="top"/>
          </w:tcPr>
          <w:p w14:paraId="39204558">
            <w:pPr>
              <w:spacing w:line="360" w:lineRule="auto"/>
              <w:rPr>
                <w:rFonts w:ascii="Arial"/>
                <w:sz w:val="21"/>
                <w:highlight w:val="none"/>
              </w:rPr>
            </w:pPr>
          </w:p>
          <w:p w14:paraId="68A1DE2B">
            <w:pPr>
              <w:spacing w:line="360" w:lineRule="auto"/>
              <w:rPr>
                <w:rFonts w:ascii="Arial"/>
                <w:sz w:val="21"/>
                <w:highlight w:val="none"/>
              </w:rPr>
            </w:pPr>
          </w:p>
          <w:p w14:paraId="208161A4">
            <w:pPr>
              <w:spacing w:line="360" w:lineRule="auto"/>
              <w:rPr>
                <w:rFonts w:ascii="Arial"/>
                <w:sz w:val="21"/>
                <w:highlight w:val="none"/>
              </w:rPr>
            </w:pPr>
          </w:p>
          <w:p w14:paraId="7E865C51">
            <w:pPr>
              <w:spacing w:line="360" w:lineRule="auto"/>
              <w:rPr>
                <w:rFonts w:ascii="Arial"/>
                <w:sz w:val="21"/>
                <w:highlight w:val="none"/>
              </w:rPr>
            </w:pPr>
          </w:p>
          <w:p w14:paraId="6050FCB0">
            <w:pPr>
              <w:pStyle w:val="12"/>
              <w:spacing w:before="59" w:line="360" w:lineRule="auto"/>
              <w:ind w:left="389"/>
              <w:rPr>
                <w:sz w:val="18"/>
                <w:szCs w:val="18"/>
                <w:highlight w:val="none"/>
              </w:rPr>
            </w:pPr>
            <w:r>
              <w:rPr>
                <w:b/>
                <w:bCs/>
                <w:spacing w:val="-2"/>
                <w:sz w:val="18"/>
                <w:szCs w:val="18"/>
                <w:highlight w:val="none"/>
              </w:rPr>
              <w:t>8</w:t>
            </w:r>
          </w:p>
        </w:tc>
      </w:tr>
      <w:tr w14:paraId="3AFF09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4" w:hRule="atLeast"/>
        </w:trPr>
        <w:tc>
          <w:tcPr>
            <w:tcW w:w="731" w:type="dxa"/>
            <w:vAlign w:val="top"/>
          </w:tcPr>
          <w:p w14:paraId="6ED54576">
            <w:pPr>
              <w:spacing w:line="360" w:lineRule="auto"/>
              <w:rPr>
                <w:rFonts w:ascii="Arial"/>
                <w:sz w:val="21"/>
                <w:highlight w:val="none"/>
              </w:rPr>
            </w:pPr>
          </w:p>
          <w:p w14:paraId="3BFD9AA6">
            <w:pPr>
              <w:pStyle w:val="12"/>
              <w:spacing w:before="59" w:line="360" w:lineRule="auto"/>
              <w:ind w:left="283"/>
              <w:rPr>
                <w:sz w:val="18"/>
                <w:szCs w:val="18"/>
                <w:highlight w:val="none"/>
              </w:rPr>
            </w:pPr>
            <w:r>
              <w:rPr>
                <w:b/>
                <w:bCs/>
                <w:spacing w:val="-2"/>
                <w:sz w:val="18"/>
                <w:szCs w:val="18"/>
                <w:highlight w:val="none"/>
              </w:rPr>
              <w:t>八</w:t>
            </w:r>
          </w:p>
        </w:tc>
        <w:tc>
          <w:tcPr>
            <w:tcW w:w="847" w:type="dxa"/>
            <w:vAlign w:val="top"/>
          </w:tcPr>
          <w:p w14:paraId="5C509BAF">
            <w:pPr>
              <w:spacing w:line="360" w:lineRule="auto"/>
              <w:rPr>
                <w:rFonts w:ascii="Arial"/>
                <w:sz w:val="21"/>
                <w:highlight w:val="none"/>
              </w:rPr>
            </w:pPr>
          </w:p>
        </w:tc>
        <w:tc>
          <w:tcPr>
            <w:tcW w:w="900" w:type="dxa"/>
            <w:vAlign w:val="top"/>
          </w:tcPr>
          <w:p w14:paraId="36C173AF">
            <w:pPr>
              <w:spacing w:line="360" w:lineRule="auto"/>
              <w:rPr>
                <w:rFonts w:ascii="Arial"/>
                <w:sz w:val="21"/>
                <w:highlight w:val="none"/>
              </w:rPr>
            </w:pPr>
          </w:p>
        </w:tc>
        <w:tc>
          <w:tcPr>
            <w:tcW w:w="832" w:type="dxa"/>
            <w:vAlign w:val="top"/>
          </w:tcPr>
          <w:p w14:paraId="46C1F9B4">
            <w:pPr>
              <w:spacing w:line="360" w:lineRule="auto"/>
              <w:rPr>
                <w:rFonts w:ascii="Arial"/>
                <w:sz w:val="21"/>
                <w:highlight w:val="none"/>
              </w:rPr>
            </w:pPr>
          </w:p>
        </w:tc>
        <w:tc>
          <w:tcPr>
            <w:tcW w:w="1087" w:type="dxa"/>
            <w:vAlign w:val="top"/>
          </w:tcPr>
          <w:p w14:paraId="6710FC95">
            <w:pPr>
              <w:spacing w:line="360" w:lineRule="auto"/>
              <w:rPr>
                <w:rFonts w:ascii="Arial"/>
                <w:sz w:val="21"/>
                <w:highlight w:val="none"/>
              </w:rPr>
            </w:pPr>
          </w:p>
          <w:p w14:paraId="7B49B702">
            <w:pPr>
              <w:pStyle w:val="12"/>
              <w:spacing w:before="59" w:line="360" w:lineRule="auto"/>
              <w:ind w:left="193"/>
              <w:rPr>
                <w:sz w:val="18"/>
                <w:szCs w:val="18"/>
                <w:highlight w:val="none"/>
              </w:rPr>
            </w:pPr>
            <w:r>
              <w:rPr>
                <w:spacing w:val="-3"/>
                <w:sz w:val="18"/>
                <w:szCs w:val="18"/>
                <w:highlight w:val="none"/>
              </w:rPr>
              <w:t>实习队长</w:t>
            </w:r>
          </w:p>
        </w:tc>
        <w:tc>
          <w:tcPr>
            <w:tcW w:w="962" w:type="dxa"/>
            <w:vAlign w:val="top"/>
          </w:tcPr>
          <w:p w14:paraId="6AD995EF">
            <w:pPr>
              <w:spacing w:line="360" w:lineRule="auto"/>
              <w:rPr>
                <w:rFonts w:ascii="Arial"/>
                <w:sz w:val="21"/>
                <w:highlight w:val="none"/>
              </w:rPr>
            </w:pPr>
          </w:p>
          <w:p w14:paraId="32D8AFF9">
            <w:pPr>
              <w:pStyle w:val="12"/>
              <w:spacing w:before="58" w:line="360" w:lineRule="auto"/>
              <w:ind w:left="125" w:right="119" w:firstLine="11"/>
              <w:rPr>
                <w:sz w:val="18"/>
                <w:szCs w:val="18"/>
                <w:highlight w:val="none"/>
              </w:rPr>
            </w:pPr>
            <w:r>
              <w:rPr>
                <w:spacing w:val="-5"/>
                <w:sz w:val="18"/>
                <w:szCs w:val="18"/>
                <w:highlight w:val="none"/>
              </w:rPr>
              <w:t>院青红联</w:t>
            </w:r>
            <w:r>
              <w:rPr>
                <w:spacing w:val="-2"/>
                <w:sz w:val="18"/>
                <w:szCs w:val="18"/>
                <w:highlight w:val="none"/>
              </w:rPr>
              <w:t>合会干事</w:t>
            </w:r>
          </w:p>
        </w:tc>
        <w:tc>
          <w:tcPr>
            <w:tcW w:w="1170" w:type="dxa"/>
            <w:vAlign w:val="top"/>
          </w:tcPr>
          <w:p w14:paraId="4A857C1F">
            <w:pPr>
              <w:spacing w:line="360" w:lineRule="auto"/>
              <w:rPr>
                <w:rFonts w:ascii="Arial"/>
                <w:sz w:val="21"/>
                <w:highlight w:val="none"/>
              </w:rPr>
            </w:pPr>
          </w:p>
        </w:tc>
        <w:tc>
          <w:tcPr>
            <w:tcW w:w="1349" w:type="dxa"/>
            <w:vAlign w:val="top"/>
          </w:tcPr>
          <w:p w14:paraId="78243E58">
            <w:pPr>
              <w:pStyle w:val="12"/>
              <w:spacing w:before="72" w:line="360" w:lineRule="auto"/>
              <w:ind w:left="144"/>
              <w:rPr>
                <w:color w:val="auto"/>
                <w:sz w:val="18"/>
                <w:szCs w:val="18"/>
                <w:highlight w:val="none"/>
              </w:rPr>
            </w:pPr>
            <w:r>
              <w:rPr>
                <w:color w:val="auto"/>
                <w:spacing w:val="-2"/>
                <w:sz w:val="18"/>
                <w:szCs w:val="18"/>
                <w:highlight w:val="none"/>
              </w:rPr>
              <w:t>其他校内组织</w:t>
            </w:r>
          </w:p>
          <w:p w14:paraId="5503228A">
            <w:pPr>
              <w:pStyle w:val="12"/>
              <w:spacing w:before="97" w:line="360" w:lineRule="auto"/>
              <w:ind w:left="143"/>
              <w:rPr>
                <w:color w:val="auto"/>
                <w:sz w:val="18"/>
                <w:szCs w:val="18"/>
                <w:highlight w:val="none"/>
              </w:rPr>
            </w:pPr>
            <w:r>
              <w:rPr>
                <w:color w:val="auto"/>
                <w:spacing w:val="-1"/>
                <w:sz w:val="18"/>
                <w:szCs w:val="18"/>
                <w:highlight w:val="none"/>
              </w:rPr>
              <w:t>第三层级及以</w:t>
            </w:r>
          </w:p>
          <w:p w14:paraId="6C725FA6">
            <w:pPr>
              <w:pStyle w:val="12"/>
              <w:spacing w:before="97" w:line="360" w:lineRule="auto"/>
              <w:ind w:left="149"/>
              <w:rPr>
                <w:color w:val="auto"/>
                <w:sz w:val="18"/>
                <w:szCs w:val="18"/>
                <w:highlight w:val="none"/>
              </w:rPr>
            </w:pPr>
            <w:r>
              <w:rPr>
                <w:color w:val="auto"/>
                <w:spacing w:val="-2"/>
                <w:sz w:val="18"/>
                <w:szCs w:val="18"/>
                <w:highlight w:val="none"/>
              </w:rPr>
              <w:t>下层级工作人</w:t>
            </w:r>
          </w:p>
          <w:p w14:paraId="744625BF">
            <w:pPr>
              <w:pStyle w:val="12"/>
              <w:spacing w:before="97" w:line="360" w:lineRule="auto"/>
              <w:ind w:left="599"/>
              <w:rPr>
                <w:color w:val="auto"/>
                <w:sz w:val="18"/>
                <w:szCs w:val="18"/>
                <w:highlight w:val="none"/>
              </w:rPr>
            </w:pPr>
            <w:r>
              <w:rPr>
                <w:color w:val="auto"/>
                <w:sz w:val="18"/>
                <w:szCs w:val="18"/>
                <w:highlight w:val="none"/>
              </w:rPr>
              <w:t>员</w:t>
            </w:r>
          </w:p>
        </w:tc>
        <w:tc>
          <w:tcPr>
            <w:tcW w:w="859" w:type="dxa"/>
            <w:vAlign w:val="top"/>
          </w:tcPr>
          <w:p w14:paraId="7A8D3835">
            <w:pPr>
              <w:spacing w:line="360" w:lineRule="auto"/>
              <w:rPr>
                <w:rFonts w:ascii="Arial"/>
                <w:sz w:val="21"/>
                <w:highlight w:val="none"/>
              </w:rPr>
            </w:pPr>
          </w:p>
          <w:p w14:paraId="3E92615A">
            <w:pPr>
              <w:spacing w:line="360" w:lineRule="auto"/>
              <w:rPr>
                <w:rFonts w:ascii="Arial"/>
                <w:sz w:val="21"/>
                <w:highlight w:val="none"/>
              </w:rPr>
            </w:pPr>
          </w:p>
          <w:p w14:paraId="3C32D296">
            <w:pPr>
              <w:pStyle w:val="12"/>
              <w:spacing w:before="59" w:line="360" w:lineRule="auto"/>
              <w:ind w:left="393"/>
              <w:rPr>
                <w:sz w:val="18"/>
                <w:szCs w:val="18"/>
                <w:highlight w:val="none"/>
              </w:rPr>
            </w:pPr>
            <w:r>
              <w:rPr>
                <w:b/>
                <w:bCs/>
                <w:spacing w:val="-2"/>
                <w:sz w:val="18"/>
                <w:szCs w:val="18"/>
                <w:highlight w:val="none"/>
              </w:rPr>
              <w:t>7</w:t>
            </w:r>
          </w:p>
        </w:tc>
      </w:tr>
      <w:tr w14:paraId="0BAC37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3" w:hRule="atLeast"/>
        </w:trPr>
        <w:tc>
          <w:tcPr>
            <w:tcW w:w="731" w:type="dxa"/>
            <w:vAlign w:val="center"/>
          </w:tcPr>
          <w:p w14:paraId="45904A73">
            <w:pPr>
              <w:pStyle w:val="12"/>
              <w:spacing w:before="59" w:line="360" w:lineRule="auto"/>
              <w:ind w:left="283"/>
              <w:rPr>
                <w:rFonts w:hint="eastAsia" w:eastAsia="宋体"/>
                <w:b/>
                <w:bCs/>
                <w:spacing w:val="-2"/>
                <w:sz w:val="18"/>
                <w:szCs w:val="18"/>
                <w:highlight w:val="none"/>
                <w:lang w:val="en-US" w:eastAsia="zh-CN"/>
              </w:rPr>
            </w:pPr>
            <w:r>
              <w:rPr>
                <w:rFonts w:hint="eastAsia"/>
                <w:b/>
                <w:bCs/>
                <w:spacing w:val="-2"/>
                <w:sz w:val="18"/>
                <w:szCs w:val="18"/>
                <w:highlight w:val="none"/>
                <w:lang w:val="en-US" w:eastAsia="zh-CN"/>
              </w:rPr>
              <w:t>九</w:t>
            </w:r>
          </w:p>
        </w:tc>
        <w:tc>
          <w:tcPr>
            <w:tcW w:w="847" w:type="dxa"/>
            <w:vAlign w:val="top"/>
          </w:tcPr>
          <w:p w14:paraId="5FCB930B">
            <w:pPr>
              <w:spacing w:line="360" w:lineRule="auto"/>
              <w:rPr>
                <w:rFonts w:ascii="Arial"/>
                <w:sz w:val="21"/>
                <w:highlight w:val="none"/>
              </w:rPr>
            </w:pPr>
          </w:p>
        </w:tc>
        <w:tc>
          <w:tcPr>
            <w:tcW w:w="900" w:type="dxa"/>
            <w:vAlign w:val="top"/>
          </w:tcPr>
          <w:p w14:paraId="107DA2D5">
            <w:pPr>
              <w:spacing w:line="360" w:lineRule="auto"/>
              <w:rPr>
                <w:rFonts w:ascii="Arial"/>
                <w:sz w:val="21"/>
                <w:highlight w:val="none"/>
              </w:rPr>
            </w:pPr>
          </w:p>
        </w:tc>
        <w:tc>
          <w:tcPr>
            <w:tcW w:w="832" w:type="dxa"/>
            <w:vAlign w:val="top"/>
          </w:tcPr>
          <w:p w14:paraId="1D23A53A">
            <w:pPr>
              <w:spacing w:line="360" w:lineRule="auto"/>
              <w:rPr>
                <w:rFonts w:ascii="Arial"/>
                <w:sz w:val="21"/>
                <w:highlight w:val="none"/>
              </w:rPr>
            </w:pPr>
          </w:p>
        </w:tc>
        <w:tc>
          <w:tcPr>
            <w:tcW w:w="1087" w:type="dxa"/>
            <w:vAlign w:val="center"/>
          </w:tcPr>
          <w:p w14:paraId="4BC59483">
            <w:pPr>
              <w:pStyle w:val="12"/>
              <w:spacing w:before="59" w:line="360" w:lineRule="auto"/>
              <w:ind w:left="193"/>
              <w:rPr>
                <w:rFonts w:hint="eastAsia" w:eastAsia="宋体"/>
                <w:spacing w:val="-3"/>
                <w:sz w:val="18"/>
                <w:szCs w:val="18"/>
                <w:highlight w:val="none"/>
                <w:lang w:val="en-US" w:eastAsia="zh-CN"/>
              </w:rPr>
            </w:pPr>
            <w:r>
              <w:rPr>
                <w:rFonts w:hint="eastAsia"/>
                <w:spacing w:val="-3"/>
                <w:sz w:val="18"/>
                <w:szCs w:val="18"/>
                <w:highlight w:val="none"/>
                <w:lang w:val="en-US" w:eastAsia="zh-CN"/>
              </w:rPr>
              <w:t>军训教官</w:t>
            </w:r>
          </w:p>
        </w:tc>
        <w:tc>
          <w:tcPr>
            <w:tcW w:w="962" w:type="dxa"/>
            <w:vAlign w:val="center"/>
          </w:tcPr>
          <w:p w14:paraId="4381B23C">
            <w:pPr>
              <w:pStyle w:val="12"/>
              <w:spacing w:before="58" w:line="360" w:lineRule="auto"/>
              <w:ind w:left="125" w:right="119" w:firstLine="11"/>
              <w:rPr>
                <w:spacing w:val="-5"/>
                <w:sz w:val="18"/>
                <w:szCs w:val="18"/>
                <w:highlight w:val="none"/>
              </w:rPr>
            </w:pPr>
          </w:p>
        </w:tc>
        <w:tc>
          <w:tcPr>
            <w:tcW w:w="1170" w:type="dxa"/>
            <w:vAlign w:val="center"/>
          </w:tcPr>
          <w:p w14:paraId="0B8AB61E">
            <w:pPr>
              <w:spacing w:line="360" w:lineRule="auto"/>
              <w:rPr>
                <w:rFonts w:ascii="Arial"/>
                <w:sz w:val="21"/>
                <w:highlight w:val="none"/>
              </w:rPr>
            </w:pPr>
          </w:p>
        </w:tc>
        <w:tc>
          <w:tcPr>
            <w:tcW w:w="1349" w:type="dxa"/>
            <w:vAlign w:val="center"/>
          </w:tcPr>
          <w:p w14:paraId="792121B7">
            <w:pPr>
              <w:pStyle w:val="12"/>
              <w:spacing w:before="97" w:line="360" w:lineRule="auto"/>
              <w:ind w:left="599"/>
              <w:rPr>
                <w:color w:val="C00000"/>
                <w:sz w:val="18"/>
                <w:szCs w:val="18"/>
                <w:highlight w:val="none"/>
              </w:rPr>
            </w:pPr>
          </w:p>
        </w:tc>
        <w:tc>
          <w:tcPr>
            <w:tcW w:w="859" w:type="dxa"/>
            <w:vAlign w:val="center"/>
          </w:tcPr>
          <w:p w14:paraId="201E90E9">
            <w:pPr>
              <w:pStyle w:val="12"/>
              <w:spacing w:before="59" w:line="360" w:lineRule="auto"/>
              <w:ind w:left="393"/>
              <w:rPr>
                <w:rFonts w:hint="eastAsia" w:eastAsia="宋体"/>
                <w:b/>
                <w:bCs/>
                <w:spacing w:val="-2"/>
                <w:sz w:val="18"/>
                <w:szCs w:val="18"/>
                <w:highlight w:val="none"/>
                <w:lang w:val="en-US" w:eastAsia="zh-CN"/>
              </w:rPr>
            </w:pPr>
            <w:r>
              <w:rPr>
                <w:rFonts w:hint="eastAsia"/>
                <w:b/>
                <w:bCs/>
                <w:spacing w:val="-2"/>
                <w:sz w:val="18"/>
                <w:szCs w:val="18"/>
                <w:highlight w:val="none"/>
                <w:lang w:val="en-US" w:eastAsia="zh-CN"/>
              </w:rPr>
              <w:t>2</w:t>
            </w:r>
          </w:p>
        </w:tc>
      </w:tr>
      <w:tr w14:paraId="41E883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731" w:type="dxa"/>
            <w:vAlign w:val="top"/>
          </w:tcPr>
          <w:p w14:paraId="0E47CCFE">
            <w:pPr>
              <w:pStyle w:val="12"/>
              <w:spacing w:before="170" w:line="360" w:lineRule="auto"/>
              <w:ind w:left="284"/>
              <w:rPr>
                <w:rFonts w:hint="eastAsia" w:eastAsia="宋体"/>
                <w:sz w:val="18"/>
                <w:szCs w:val="18"/>
                <w:highlight w:val="none"/>
                <w:lang w:val="en-US" w:eastAsia="zh-CN"/>
              </w:rPr>
            </w:pPr>
            <w:r>
              <w:rPr>
                <w:rFonts w:hint="eastAsia"/>
                <w:b/>
                <w:bCs/>
                <w:sz w:val="18"/>
                <w:szCs w:val="18"/>
                <w:highlight w:val="none"/>
                <w:lang w:val="en-US" w:eastAsia="zh-CN"/>
              </w:rPr>
              <w:t>十</w:t>
            </w:r>
          </w:p>
        </w:tc>
        <w:tc>
          <w:tcPr>
            <w:tcW w:w="847" w:type="dxa"/>
            <w:vAlign w:val="top"/>
          </w:tcPr>
          <w:p w14:paraId="2A3C3B66">
            <w:pPr>
              <w:spacing w:line="360" w:lineRule="auto"/>
              <w:rPr>
                <w:rFonts w:ascii="Arial"/>
                <w:sz w:val="21"/>
                <w:highlight w:val="none"/>
              </w:rPr>
            </w:pPr>
          </w:p>
        </w:tc>
        <w:tc>
          <w:tcPr>
            <w:tcW w:w="900" w:type="dxa"/>
            <w:vAlign w:val="top"/>
          </w:tcPr>
          <w:p w14:paraId="6AE60308">
            <w:pPr>
              <w:spacing w:line="360" w:lineRule="auto"/>
              <w:rPr>
                <w:rFonts w:ascii="Arial"/>
                <w:sz w:val="21"/>
                <w:highlight w:val="none"/>
              </w:rPr>
            </w:pPr>
          </w:p>
        </w:tc>
        <w:tc>
          <w:tcPr>
            <w:tcW w:w="832" w:type="dxa"/>
            <w:vAlign w:val="top"/>
          </w:tcPr>
          <w:p w14:paraId="68883F35">
            <w:pPr>
              <w:spacing w:line="360" w:lineRule="auto"/>
              <w:rPr>
                <w:rFonts w:ascii="Arial"/>
                <w:sz w:val="21"/>
                <w:highlight w:val="none"/>
              </w:rPr>
            </w:pPr>
          </w:p>
        </w:tc>
        <w:tc>
          <w:tcPr>
            <w:tcW w:w="1087" w:type="dxa"/>
            <w:vAlign w:val="top"/>
          </w:tcPr>
          <w:p w14:paraId="3DA67EC0">
            <w:pPr>
              <w:pStyle w:val="12"/>
              <w:spacing w:before="169" w:line="360" w:lineRule="auto"/>
              <w:ind w:left="281"/>
              <w:rPr>
                <w:sz w:val="18"/>
                <w:szCs w:val="18"/>
                <w:highlight w:val="none"/>
              </w:rPr>
            </w:pPr>
            <w:r>
              <w:rPr>
                <w:spacing w:val="-2"/>
                <w:sz w:val="18"/>
                <w:szCs w:val="18"/>
                <w:highlight w:val="none"/>
              </w:rPr>
              <w:t>宿舍长</w:t>
            </w:r>
          </w:p>
        </w:tc>
        <w:tc>
          <w:tcPr>
            <w:tcW w:w="962" w:type="dxa"/>
            <w:vAlign w:val="top"/>
          </w:tcPr>
          <w:p w14:paraId="7505353B">
            <w:pPr>
              <w:spacing w:line="360" w:lineRule="auto"/>
              <w:rPr>
                <w:rFonts w:ascii="Arial"/>
                <w:sz w:val="21"/>
                <w:highlight w:val="none"/>
              </w:rPr>
            </w:pPr>
          </w:p>
        </w:tc>
        <w:tc>
          <w:tcPr>
            <w:tcW w:w="1170" w:type="dxa"/>
            <w:vAlign w:val="top"/>
          </w:tcPr>
          <w:p w14:paraId="0BA3DB15">
            <w:pPr>
              <w:spacing w:line="360" w:lineRule="auto"/>
              <w:rPr>
                <w:rFonts w:ascii="Arial"/>
                <w:sz w:val="21"/>
                <w:highlight w:val="none"/>
              </w:rPr>
            </w:pPr>
          </w:p>
        </w:tc>
        <w:tc>
          <w:tcPr>
            <w:tcW w:w="1349" w:type="dxa"/>
            <w:vAlign w:val="top"/>
          </w:tcPr>
          <w:p w14:paraId="42616C62">
            <w:pPr>
              <w:spacing w:line="360" w:lineRule="auto"/>
              <w:rPr>
                <w:rFonts w:ascii="Arial"/>
                <w:sz w:val="21"/>
                <w:highlight w:val="none"/>
              </w:rPr>
            </w:pPr>
          </w:p>
        </w:tc>
        <w:tc>
          <w:tcPr>
            <w:tcW w:w="859" w:type="dxa"/>
            <w:vAlign w:val="top"/>
          </w:tcPr>
          <w:p w14:paraId="05A94D5A">
            <w:pPr>
              <w:pStyle w:val="12"/>
              <w:spacing w:before="199" w:line="360" w:lineRule="auto"/>
              <w:ind w:left="310"/>
              <w:rPr>
                <w:sz w:val="18"/>
                <w:szCs w:val="18"/>
                <w:highlight w:val="none"/>
              </w:rPr>
            </w:pPr>
            <w:r>
              <w:rPr>
                <w:b/>
                <w:bCs/>
                <w:spacing w:val="-6"/>
                <w:sz w:val="18"/>
                <w:szCs w:val="18"/>
                <w:highlight w:val="none"/>
              </w:rPr>
              <w:t>1.5</w:t>
            </w:r>
          </w:p>
        </w:tc>
      </w:tr>
    </w:tbl>
    <w:p w14:paraId="688F56D8">
      <w:pPr>
        <w:pStyle w:val="4"/>
        <w:spacing w:before="68" w:line="360" w:lineRule="auto"/>
        <w:ind w:left="229" w:firstLine="417"/>
        <w:rPr>
          <w:rFonts w:hint="eastAsia" w:eastAsia="仿宋"/>
          <w:sz w:val="21"/>
          <w:szCs w:val="21"/>
          <w:highlight w:val="none"/>
          <w:lang w:eastAsia="zh-CN"/>
        </w:rPr>
      </w:pPr>
      <w:r>
        <w:rPr>
          <w:spacing w:val="-1"/>
          <w:sz w:val="21"/>
          <w:szCs w:val="21"/>
          <w:highlight w:val="none"/>
        </w:rPr>
        <w:t>注：1.以上岗位，任职不足一年但满一个学期的按加分分值的50％计算，不满一个学期的不加</w:t>
      </w:r>
      <w:r>
        <w:rPr>
          <w:spacing w:val="-2"/>
          <w:sz w:val="21"/>
          <w:szCs w:val="21"/>
          <w:highlight w:val="none"/>
        </w:rPr>
        <w:t>分；获得荣誉称号按照表格分数的50%计算；实习队长按照加分分值的</w:t>
      </w:r>
      <w:r>
        <w:rPr>
          <w:rFonts w:hint="eastAsia"/>
          <w:spacing w:val="-2"/>
          <w:sz w:val="21"/>
          <w:szCs w:val="21"/>
          <w:highlight w:val="none"/>
          <w:lang w:val="en-US" w:eastAsia="zh-CN"/>
        </w:rPr>
        <w:t>50</w:t>
      </w:r>
      <w:r>
        <w:rPr>
          <w:spacing w:val="-2"/>
          <w:sz w:val="21"/>
          <w:szCs w:val="21"/>
          <w:highlight w:val="none"/>
        </w:rPr>
        <w:t>％计算</w:t>
      </w:r>
      <w:r>
        <w:rPr>
          <w:rFonts w:hint="eastAsia"/>
          <w:spacing w:val="-2"/>
          <w:sz w:val="21"/>
          <w:szCs w:val="21"/>
          <w:highlight w:val="none"/>
          <w:lang w:eastAsia="zh-CN"/>
        </w:rPr>
        <w:t>；</w:t>
      </w:r>
    </w:p>
    <w:p w14:paraId="3FD87F52">
      <w:pPr>
        <w:pStyle w:val="4"/>
        <w:spacing w:before="30" w:line="360" w:lineRule="auto"/>
        <w:ind w:right="2" w:firstLine="412" w:firstLineChars="200"/>
        <w:rPr>
          <w:sz w:val="21"/>
          <w:szCs w:val="21"/>
          <w:highlight w:val="none"/>
        </w:rPr>
      </w:pPr>
      <w:r>
        <w:rPr>
          <w:rFonts w:ascii="Times New Roman" w:hAnsi="Times New Roman" w:eastAsia="Times New Roman" w:cs="Times New Roman"/>
          <w:spacing w:val="-2"/>
          <w:sz w:val="21"/>
          <w:szCs w:val="21"/>
          <w:highlight w:val="none"/>
        </w:rPr>
        <w:t>2.</w:t>
      </w:r>
      <w:r>
        <w:rPr>
          <w:spacing w:val="-2"/>
          <w:sz w:val="21"/>
          <w:szCs w:val="21"/>
          <w:highlight w:val="none"/>
        </w:rPr>
        <w:t>以上社团类、文艺类的学生干部，可在学生工作中加分，也可以选择在社团、文艺活动指</w:t>
      </w:r>
      <w:r>
        <w:rPr>
          <w:spacing w:val="-1"/>
          <w:sz w:val="21"/>
          <w:szCs w:val="21"/>
          <w:highlight w:val="none"/>
        </w:rPr>
        <w:t>标中加分，但不能与学生工作指标重复加分，艺术团成员不在此加分；</w:t>
      </w:r>
    </w:p>
    <w:p w14:paraId="11EC2801">
      <w:pPr>
        <w:pStyle w:val="4"/>
        <w:spacing w:before="30" w:line="360" w:lineRule="auto"/>
        <w:ind w:firstLine="416" w:firstLineChars="200"/>
        <w:rPr>
          <w:sz w:val="21"/>
          <w:szCs w:val="21"/>
          <w:highlight w:val="none"/>
        </w:rPr>
      </w:pPr>
      <w:r>
        <w:rPr>
          <w:spacing w:val="-1"/>
          <w:sz w:val="21"/>
          <w:szCs w:val="21"/>
          <w:highlight w:val="none"/>
        </w:rPr>
        <w:t>3.同时担任多个职务的，第一职务按100%加分，第二职务按50%加分，</w:t>
      </w:r>
      <w:r>
        <w:rPr>
          <w:rFonts w:hint="eastAsia"/>
          <w:spacing w:val="-1"/>
          <w:sz w:val="21"/>
          <w:szCs w:val="21"/>
          <w:highlight w:val="none"/>
          <w:lang w:val="en-US" w:eastAsia="zh-CN"/>
        </w:rPr>
        <w:t>第三职务按25%加分，三</w:t>
      </w:r>
      <w:r>
        <w:rPr>
          <w:spacing w:val="-1"/>
          <w:sz w:val="21"/>
          <w:szCs w:val="21"/>
          <w:highlight w:val="none"/>
        </w:rPr>
        <w:t>个职务之外的不</w:t>
      </w:r>
      <w:r>
        <w:rPr>
          <w:spacing w:val="-13"/>
          <w:sz w:val="21"/>
          <w:szCs w:val="21"/>
          <w:highlight w:val="none"/>
        </w:rPr>
        <w:t>加分</w:t>
      </w:r>
      <w:r>
        <w:rPr>
          <w:spacing w:val="-13"/>
          <w:sz w:val="21"/>
          <w:szCs w:val="21"/>
          <w:highlight w:val="none"/>
        </w:rPr>
        <w:t>；</w:t>
      </w:r>
    </w:p>
    <w:p w14:paraId="072E145F">
      <w:pPr>
        <w:pStyle w:val="4"/>
        <w:spacing w:before="30" w:line="360" w:lineRule="auto"/>
        <w:ind w:right="6" w:firstLine="428" w:firstLineChars="200"/>
        <w:rPr>
          <w:sz w:val="21"/>
          <w:szCs w:val="21"/>
          <w:highlight w:val="none"/>
        </w:rPr>
      </w:pPr>
      <w:r>
        <w:rPr>
          <w:spacing w:val="2"/>
          <w:sz w:val="21"/>
          <w:szCs w:val="21"/>
          <w:highlight w:val="none"/>
        </w:rPr>
        <w:t>4.同一称号重复获奖的按最高获奖级别计分，在无隶属关系的多个组织中获</w:t>
      </w:r>
      <w:r>
        <w:rPr>
          <w:spacing w:val="1"/>
          <w:sz w:val="21"/>
          <w:szCs w:val="21"/>
          <w:highlight w:val="none"/>
        </w:rPr>
        <w:t>相同称号可累</w:t>
      </w:r>
      <w:r>
        <w:rPr>
          <w:spacing w:val="-2"/>
          <w:sz w:val="21"/>
          <w:szCs w:val="21"/>
          <w:highlight w:val="none"/>
        </w:rPr>
        <w:t>计加分；</w:t>
      </w:r>
    </w:p>
    <w:p w14:paraId="7FFF4EC7">
      <w:pPr>
        <w:pStyle w:val="4"/>
        <w:spacing w:before="30" w:line="360" w:lineRule="auto"/>
        <w:ind w:firstLine="420" w:firstLineChars="200"/>
        <w:rPr>
          <w:sz w:val="21"/>
          <w:szCs w:val="21"/>
          <w:highlight w:val="none"/>
        </w:rPr>
      </w:pPr>
      <w:r>
        <w:rPr>
          <w:sz w:val="21"/>
          <w:szCs w:val="21"/>
          <w:highlight w:val="none"/>
        </w:rPr>
        <w:t>5.同类同级荣誉称号如获评标兵另加2分（如:获优秀学生加8分，那么</w:t>
      </w:r>
      <w:r>
        <w:rPr>
          <w:spacing w:val="-1"/>
          <w:sz w:val="21"/>
          <w:szCs w:val="21"/>
          <w:highlight w:val="none"/>
        </w:rPr>
        <w:t>优秀学生标兵就加</w:t>
      </w:r>
      <w:r>
        <w:rPr>
          <w:spacing w:val="-3"/>
          <w:sz w:val="21"/>
          <w:szCs w:val="21"/>
          <w:highlight w:val="none"/>
        </w:rPr>
        <w:t>10分即标兵在优秀学生的基础上再加2分</w:t>
      </w:r>
      <w:r>
        <w:rPr>
          <w:spacing w:val="-12"/>
          <w:sz w:val="21"/>
          <w:szCs w:val="21"/>
          <w:highlight w:val="none"/>
        </w:rPr>
        <w:t>）；</w:t>
      </w:r>
    </w:p>
    <w:p w14:paraId="26F4CA8A">
      <w:pPr>
        <w:pStyle w:val="4"/>
        <w:spacing w:before="30" w:line="360" w:lineRule="auto"/>
        <w:ind w:firstLine="416" w:firstLineChars="200"/>
        <w:rPr>
          <w:spacing w:val="-1"/>
          <w:sz w:val="21"/>
          <w:szCs w:val="21"/>
          <w:highlight w:val="none"/>
        </w:rPr>
      </w:pPr>
      <w:r>
        <w:rPr>
          <w:spacing w:val="-1"/>
          <w:sz w:val="21"/>
          <w:szCs w:val="21"/>
          <w:highlight w:val="none"/>
        </w:rPr>
        <w:t>6.院级青协红会属于团委隶属部门，故加分按院内工作部门级别进行。</w:t>
      </w:r>
    </w:p>
    <w:p w14:paraId="7B909B80">
      <w:pPr>
        <w:pStyle w:val="2"/>
        <w:bidi w:val="0"/>
        <w:ind w:left="0" w:leftChars="0" w:firstLine="0" w:firstLineChars="0"/>
        <w:rPr>
          <w:rFonts w:hint="eastAsia" w:ascii="方正小标宋简体" w:hAnsi="方正小标宋简体" w:eastAsia="方正小标宋简体" w:cs="方正小标宋简体"/>
          <w:b/>
          <w:bCs/>
          <w:color w:val="auto"/>
          <w:kern w:val="0"/>
          <w:sz w:val="40"/>
          <w:szCs w:val="40"/>
          <w:highlight w:val="none"/>
          <w:lang w:val="en-US" w:eastAsia="zh-CN"/>
        </w:rPr>
      </w:pPr>
      <w:r>
        <w:rPr>
          <w:rFonts w:hint="eastAsia" w:ascii="方正小标宋简体" w:hAnsi="方正小标宋简体" w:eastAsia="方正小标宋简体" w:cs="方正小标宋简体"/>
          <w:b/>
          <w:bCs/>
          <w:color w:val="auto"/>
          <w:kern w:val="0"/>
          <w:sz w:val="40"/>
          <w:szCs w:val="40"/>
          <w:highlight w:val="none"/>
          <w:lang w:val="en-US" w:eastAsia="zh-CN"/>
        </w:rPr>
        <w:t xml:space="preserve">附件三  </w:t>
      </w:r>
    </w:p>
    <w:p w14:paraId="680B2052">
      <w:pPr>
        <w:pStyle w:val="2"/>
        <w:bidi w:val="0"/>
        <w:ind w:left="0" w:leftChars="0" w:firstLine="0" w:firstLineChars="0"/>
        <w:jc w:val="center"/>
        <w:rPr>
          <w:rFonts w:hint="eastAsia" w:ascii="方正小标宋简体" w:hAnsi="方正小标宋简体" w:eastAsia="方正小标宋简体" w:cs="方正小标宋简体"/>
          <w:b/>
          <w:bCs/>
          <w:color w:val="auto"/>
          <w:kern w:val="0"/>
          <w:sz w:val="40"/>
          <w:szCs w:val="40"/>
          <w:highlight w:val="none"/>
          <w:lang w:val="en-US" w:eastAsia="zh-CN"/>
        </w:rPr>
      </w:pPr>
      <w:r>
        <w:rPr>
          <w:rFonts w:hint="eastAsia" w:ascii="方正小标宋简体" w:hAnsi="方正小标宋简体" w:eastAsia="方正小标宋简体" w:cs="方正小标宋简体"/>
          <w:b/>
          <w:bCs/>
          <w:color w:val="auto"/>
          <w:kern w:val="0"/>
          <w:sz w:val="40"/>
          <w:szCs w:val="40"/>
          <w:highlight w:val="none"/>
          <w:lang w:val="en-US" w:eastAsia="zh-CN"/>
        </w:rPr>
        <w:t>其他校内组织社团汇总</w:t>
      </w:r>
    </w:p>
    <w:p w14:paraId="7A44752E">
      <w:pPr>
        <w:spacing w:line="360" w:lineRule="auto"/>
        <w:ind w:firstLine="560" w:firstLineChars="200"/>
        <w:jc w:val="both"/>
        <w:rPr>
          <w:rFonts w:hint="default" w:ascii="宋体" w:hAnsi="宋体" w:eastAsia="宋体" w:cs="宋体"/>
          <w:color w:val="auto"/>
          <w:sz w:val="32"/>
          <w:szCs w:val="32"/>
          <w:highlight w:val="none"/>
          <w:lang w:val="en-US" w:eastAsia="zh-CN"/>
        </w:rPr>
      </w:pPr>
      <w:r>
        <w:rPr>
          <w:rFonts w:hint="eastAsia" w:ascii="宋体" w:hAnsi="宋体" w:eastAsia="宋体" w:cs="宋体"/>
          <w:color w:val="auto"/>
          <w:sz w:val="28"/>
          <w:szCs w:val="28"/>
          <w:highlight w:val="none"/>
          <w:lang w:val="en-US" w:eastAsia="zh-CN"/>
        </w:rPr>
        <w:t>（以下列出社团仅供参考，</w:t>
      </w:r>
      <w:r>
        <w:rPr>
          <w:rFonts w:hint="eastAsia" w:ascii="宋体" w:hAnsi="宋体" w:eastAsia="宋体" w:cs="宋体"/>
          <w:color w:val="auto"/>
          <w:sz w:val="28"/>
          <w:szCs w:val="28"/>
          <w:highlight w:val="none"/>
        </w:rPr>
        <w:t>未提到的社团加分</w:t>
      </w:r>
      <w:r>
        <w:rPr>
          <w:rFonts w:hint="eastAsia" w:ascii="宋体" w:hAnsi="宋体" w:eastAsia="宋体" w:cs="宋体"/>
          <w:color w:val="auto"/>
          <w:sz w:val="28"/>
          <w:szCs w:val="28"/>
          <w:highlight w:val="none"/>
          <w:lang w:val="en-US" w:eastAsia="zh-CN"/>
        </w:rPr>
        <w:t>建议班级内部自行商议评定加分）</w:t>
      </w:r>
    </w:p>
    <w:p w14:paraId="50354212">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思想政治类</w:t>
      </w:r>
    </w:p>
    <w:p w14:paraId="6E08F64B">
      <w:pPr>
        <w:spacing w:line="360" w:lineRule="auto"/>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国防教育协会</w:t>
      </w:r>
    </w:p>
    <w:p w14:paraId="4BAED6D8">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学术科技类</w:t>
      </w:r>
    </w:p>
    <w:p w14:paraId="2A15F8EC">
      <w:pPr>
        <w:spacing w:line="360" w:lineRule="auto"/>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地理探索学社</w:t>
      </w:r>
    </w:p>
    <w:p w14:paraId="63C6B797">
      <w:pPr>
        <w:spacing w:line="360" w:lineRule="auto"/>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伦理研究社</w:t>
      </w:r>
    </w:p>
    <w:p w14:paraId="5DBB5FBA">
      <w:pPr>
        <w:spacing w:line="360" w:lineRule="auto"/>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历史瞭望社</w:t>
      </w:r>
    </w:p>
    <w:p w14:paraId="3DBB5C09">
      <w:pPr>
        <w:spacing w:line="360" w:lineRule="auto"/>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日语学社</w:t>
      </w:r>
    </w:p>
    <w:p w14:paraId="5B351A90">
      <w:pPr>
        <w:spacing w:line="360" w:lineRule="auto"/>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塔内计算机协会</w:t>
      </w:r>
    </w:p>
    <w:p w14:paraId="6E776113">
      <w:pPr>
        <w:spacing w:line="360" w:lineRule="auto"/>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网络协会</w:t>
      </w:r>
    </w:p>
    <w:p w14:paraId="0865FE1E">
      <w:pPr>
        <w:spacing w:line="360" w:lineRule="auto"/>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学生陶行知教育思想研究会</w:t>
      </w:r>
    </w:p>
    <w:p w14:paraId="067187D2">
      <w:pPr>
        <w:spacing w:line="360" w:lineRule="auto"/>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应用数学研究会</w:t>
      </w:r>
    </w:p>
    <w:p w14:paraId="7FF54B07">
      <w:pPr>
        <w:spacing w:line="360" w:lineRule="auto"/>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英语学社</w:t>
      </w:r>
    </w:p>
    <w:p w14:paraId="56E4A074">
      <w:pPr>
        <w:spacing w:line="360" w:lineRule="auto"/>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政治学社</w:t>
      </w:r>
    </w:p>
    <w:p w14:paraId="04BD2177">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创新创业类</w:t>
      </w:r>
    </w:p>
    <w:p w14:paraId="6CFD689B">
      <w:pPr>
        <w:spacing w:line="360" w:lineRule="auto"/>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创业先锋俱乐部</w:t>
      </w:r>
    </w:p>
    <w:p w14:paraId="1333005C">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文化体育类</w:t>
      </w:r>
    </w:p>
    <w:p w14:paraId="1857FE98">
      <w:pPr>
        <w:spacing w:line="360" w:lineRule="auto"/>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爱乐协会</w:t>
      </w:r>
    </w:p>
    <w:p w14:paraId="43CF834F">
      <w:pPr>
        <w:spacing w:line="360" w:lineRule="auto"/>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华石影像俱乐部</w:t>
      </w:r>
    </w:p>
    <w:p w14:paraId="113C4F96">
      <w:pPr>
        <w:spacing w:line="360" w:lineRule="auto"/>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华韵汉服社</w:t>
      </w:r>
    </w:p>
    <w:p w14:paraId="7BB6C895">
      <w:pPr>
        <w:spacing w:line="360" w:lineRule="auto"/>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轮滑协会</w:t>
      </w:r>
    </w:p>
    <w:p w14:paraId="5BDC8078">
      <w:pPr>
        <w:spacing w:line="360" w:lineRule="auto"/>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毽球协会</w:t>
      </w:r>
    </w:p>
    <w:p w14:paraId="3FEDBBD9">
      <w:pPr>
        <w:spacing w:line="360" w:lineRule="auto"/>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吉他协会</w:t>
      </w:r>
    </w:p>
    <w:p w14:paraId="398A811E">
      <w:pPr>
        <w:spacing w:line="360" w:lineRule="auto"/>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乒乓球协会</w:t>
      </w:r>
    </w:p>
    <w:p w14:paraId="17B08106">
      <w:pPr>
        <w:spacing w:line="360" w:lineRule="auto"/>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排球协会</w:t>
      </w:r>
    </w:p>
    <w:p w14:paraId="6E7443F1">
      <w:pPr>
        <w:spacing w:line="360" w:lineRule="auto"/>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棋艺苑</w:t>
      </w:r>
    </w:p>
    <w:p w14:paraId="6AD48AB2">
      <w:pPr>
        <w:spacing w:line="360" w:lineRule="auto"/>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书法协会</w:t>
      </w:r>
    </w:p>
    <w:p w14:paraId="3CE705F9">
      <w:pPr>
        <w:spacing w:line="360" w:lineRule="auto"/>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跆拳道协会</w:t>
      </w:r>
    </w:p>
    <w:p w14:paraId="6B7C137E">
      <w:pPr>
        <w:spacing w:line="360" w:lineRule="auto"/>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武术协会</w:t>
      </w:r>
    </w:p>
    <w:p w14:paraId="64928B2F">
      <w:pPr>
        <w:spacing w:line="360" w:lineRule="auto"/>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羽毛球协会</w:t>
      </w:r>
    </w:p>
    <w:p w14:paraId="445EF15E">
      <w:pPr>
        <w:spacing w:line="360" w:lineRule="auto"/>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ZERO动漫协会</w:t>
      </w:r>
    </w:p>
    <w:p w14:paraId="34865BA5">
      <w:pPr>
        <w:spacing w:line="360" w:lineRule="auto"/>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扯铃社</w:t>
      </w:r>
    </w:p>
    <w:p w14:paraId="5E8562EE">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志愿公益类</w:t>
      </w:r>
    </w:p>
    <w:p w14:paraId="216DC866">
      <w:pPr>
        <w:spacing w:line="360" w:lineRule="auto"/>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绿色文明社团</w:t>
      </w:r>
    </w:p>
    <w:p w14:paraId="38160605">
      <w:pPr>
        <w:spacing w:line="360" w:lineRule="auto"/>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美丽中国教育公益协会</w:t>
      </w:r>
    </w:p>
    <w:p w14:paraId="666D7807">
      <w:pPr>
        <w:spacing w:line="360" w:lineRule="auto"/>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新长城自强社</w:t>
      </w:r>
    </w:p>
    <w:p w14:paraId="3FCD1A20">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自律互助类</w:t>
      </w:r>
    </w:p>
    <w:p w14:paraId="355EDAF3">
      <w:pPr>
        <w:spacing w:line="360" w:lineRule="auto"/>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心理健康与个人发展协会</w:t>
      </w:r>
    </w:p>
    <w:p w14:paraId="359C80A5">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其他类</w:t>
      </w:r>
    </w:p>
    <w:p w14:paraId="77713E51">
      <w:pPr>
        <w:spacing w:line="360" w:lineRule="auto"/>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荷花社</w:t>
      </w:r>
    </w:p>
    <w:p w14:paraId="031CA1D3">
      <w:pPr>
        <w:spacing w:line="360" w:lineRule="auto"/>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新闻社</w:t>
      </w:r>
    </w:p>
    <w:p w14:paraId="141AA480">
      <w:pPr>
        <w:spacing w:line="360" w:lineRule="auto"/>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紫荆花社</w:t>
      </w:r>
    </w:p>
    <w:p w14:paraId="6A8042B0">
      <w:pPr>
        <w:pStyle w:val="2"/>
        <w:bidi w:val="0"/>
        <w:ind w:left="0" w:leftChars="0" w:firstLine="0" w:firstLineChars="0"/>
        <w:rPr>
          <w:rFonts w:hint="eastAsia" w:ascii="方正小标宋简体" w:hAnsi="方正小标宋简体" w:eastAsia="方正小标宋简体" w:cs="方正小标宋简体"/>
          <w:b/>
          <w:bCs/>
          <w:color w:val="auto"/>
          <w:kern w:val="0"/>
          <w:sz w:val="40"/>
          <w:szCs w:val="40"/>
          <w:highlight w:val="none"/>
          <w:lang w:val="en-US" w:eastAsia="zh-CN"/>
        </w:rPr>
      </w:pPr>
    </w:p>
    <w:p w14:paraId="606A960F">
      <w:pPr>
        <w:pStyle w:val="2"/>
        <w:bidi w:val="0"/>
        <w:ind w:left="0" w:leftChars="0" w:firstLine="0" w:firstLineChars="0"/>
        <w:rPr>
          <w:rFonts w:hint="eastAsia" w:ascii="方正小标宋简体" w:hAnsi="方正小标宋简体" w:eastAsia="方正小标宋简体" w:cs="方正小标宋简体"/>
          <w:b/>
          <w:bCs/>
          <w:color w:val="auto"/>
          <w:kern w:val="0"/>
          <w:sz w:val="40"/>
          <w:szCs w:val="40"/>
          <w:highlight w:val="none"/>
          <w:lang w:val="en-US" w:eastAsia="zh-CN"/>
        </w:rPr>
      </w:pPr>
      <w:r>
        <w:rPr>
          <w:rFonts w:hint="eastAsia" w:ascii="方正小标宋简体" w:hAnsi="方正小标宋简体" w:eastAsia="方正小标宋简体" w:cs="方正小标宋简体"/>
          <w:b/>
          <w:bCs/>
          <w:color w:val="auto"/>
          <w:kern w:val="0"/>
          <w:sz w:val="40"/>
          <w:szCs w:val="40"/>
          <w:highlight w:val="none"/>
          <w:lang w:val="en-US" w:eastAsia="zh-CN"/>
        </w:rPr>
        <w:t xml:space="preserve">附件四 </w:t>
      </w:r>
    </w:p>
    <w:p w14:paraId="446F94D7">
      <w:pPr>
        <w:pStyle w:val="2"/>
        <w:bidi w:val="0"/>
        <w:ind w:left="0" w:leftChars="0" w:firstLine="0" w:firstLineChars="0"/>
        <w:jc w:val="center"/>
        <w:rPr>
          <w:rFonts w:hint="eastAsia" w:ascii="方正小标宋简体" w:hAnsi="方正小标宋简体" w:eastAsia="方正小标宋简体" w:cs="方正小标宋简体"/>
          <w:b/>
          <w:bCs/>
          <w:color w:val="auto"/>
          <w:kern w:val="0"/>
          <w:sz w:val="40"/>
          <w:szCs w:val="40"/>
          <w:highlight w:val="none"/>
          <w:lang w:val="en-US" w:eastAsia="zh-CN"/>
        </w:rPr>
      </w:pPr>
      <w:r>
        <w:rPr>
          <w:rFonts w:hint="eastAsia" w:ascii="方正小标宋简体" w:hAnsi="方正小标宋简体" w:eastAsia="方正小标宋简体" w:cs="方正小标宋简体"/>
          <w:b/>
          <w:bCs/>
          <w:color w:val="auto"/>
          <w:kern w:val="0"/>
          <w:sz w:val="40"/>
          <w:szCs w:val="40"/>
          <w:highlight w:val="none"/>
          <w:lang w:val="en-US" w:eastAsia="zh-CN"/>
        </w:rPr>
        <w:t>“论文类加分”中的代表性成果推荐目录</w:t>
      </w:r>
    </w:p>
    <w:p w14:paraId="6650C995">
      <w:pPr>
        <w:rPr>
          <w:rFonts w:hint="eastAsia" w:ascii="宋体" w:hAnsi="宋体" w:eastAsia="宋体" w:cs="宋体"/>
          <w:b w:val="0"/>
          <w:bCs w:val="0"/>
          <w:color w:val="auto"/>
          <w:kern w:val="0"/>
          <w:sz w:val="28"/>
          <w:szCs w:val="28"/>
          <w:highlight w:val="none"/>
          <w:lang w:val="en-US" w:eastAsia="zh-CN"/>
        </w:rPr>
      </w:pPr>
      <w:r>
        <w:rPr>
          <w:rFonts w:hint="eastAsia" w:ascii="宋体" w:hAnsi="宋体" w:eastAsia="宋体" w:cs="宋体"/>
          <w:b w:val="0"/>
          <w:bCs w:val="0"/>
          <w:color w:val="auto"/>
          <w:kern w:val="0"/>
          <w:sz w:val="28"/>
          <w:szCs w:val="28"/>
          <w:highlight w:val="none"/>
          <w:lang w:val="en-US" w:eastAsia="zh-CN"/>
        </w:rPr>
        <w:t>注：以下期刊目录仅供参考。对于未列入本目录的期刊，其综测认定时将根据相关规定另行审议确定。</w:t>
      </w:r>
    </w:p>
    <w:tbl>
      <w:tblPr>
        <w:tblStyle w:val="9"/>
        <w:tblW w:w="9147" w:type="dxa"/>
        <w:tblInd w:w="-2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7"/>
        <w:gridCol w:w="6733"/>
        <w:gridCol w:w="1587"/>
      </w:tblGrid>
      <w:tr w14:paraId="21911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7" w:type="dxa"/>
            <w:vAlign w:val="center"/>
          </w:tcPr>
          <w:p w14:paraId="07BD515A">
            <w:pPr>
              <w:widowControl w:val="0"/>
              <w:spacing w:before="125" w:line="226" w:lineRule="auto"/>
              <w:ind w:left="74"/>
              <w:jc w:val="center"/>
              <w:rPr>
                <w:rFonts w:hint="default" w:ascii="宋体" w:hAnsi="宋体" w:eastAsia="宋体" w:cs="宋体"/>
                <w:b/>
                <w:bCs/>
                <w:sz w:val="24"/>
                <w:szCs w:val="24"/>
                <w:highlight w:val="none"/>
                <w:lang w:val="en-US" w:eastAsia="zh-CN"/>
              </w:rPr>
            </w:pPr>
            <w:r>
              <w:rPr>
                <w:rFonts w:hint="eastAsia" w:ascii="宋体" w:hAnsi="宋体" w:eastAsia="宋体" w:cs="宋体"/>
                <w:b/>
                <w:bCs/>
                <w:sz w:val="24"/>
                <w:szCs w:val="24"/>
                <w:highlight w:val="none"/>
              </w:rPr>
              <w:t>序号</w:t>
            </w:r>
          </w:p>
        </w:tc>
        <w:tc>
          <w:tcPr>
            <w:tcW w:w="6733" w:type="dxa"/>
            <w:vAlign w:val="center"/>
          </w:tcPr>
          <w:p w14:paraId="115B23BB">
            <w:pPr>
              <w:widowControl w:val="0"/>
              <w:spacing w:before="125" w:line="226" w:lineRule="auto"/>
              <w:ind w:left="74"/>
              <w:jc w:val="center"/>
              <w:rPr>
                <w:rFonts w:hint="default" w:ascii="宋体" w:hAnsi="宋体" w:eastAsia="宋体" w:cs="宋体"/>
                <w:b/>
                <w:bCs/>
                <w:sz w:val="24"/>
                <w:szCs w:val="24"/>
                <w:highlight w:val="none"/>
                <w:lang w:val="en-US" w:eastAsia="zh-CN"/>
              </w:rPr>
            </w:pPr>
            <w:r>
              <w:rPr>
                <w:rFonts w:hint="eastAsia" w:ascii="宋体" w:hAnsi="宋体" w:eastAsia="宋体" w:cs="宋体"/>
                <w:b/>
                <w:bCs/>
                <w:sz w:val="24"/>
                <w:szCs w:val="24"/>
                <w:highlight w:val="none"/>
              </w:rPr>
              <w:t>期刊名称</w:t>
            </w:r>
          </w:p>
        </w:tc>
        <w:tc>
          <w:tcPr>
            <w:tcW w:w="1587" w:type="dxa"/>
            <w:vAlign w:val="center"/>
          </w:tcPr>
          <w:p w14:paraId="0597953E">
            <w:pPr>
              <w:widowControl w:val="0"/>
              <w:spacing w:before="125" w:line="226" w:lineRule="auto"/>
              <w:ind w:left="74"/>
              <w:jc w:val="center"/>
              <w:rPr>
                <w:rFonts w:hint="default" w:ascii="宋体" w:hAnsi="宋体" w:eastAsia="宋体" w:cs="宋体"/>
                <w:b/>
                <w:bCs/>
                <w:sz w:val="24"/>
                <w:szCs w:val="24"/>
                <w:highlight w:val="none"/>
                <w:lang w:val="en-US" w:eastAsia="zh-CN"/>
              </w:rPr>
            </w:pPr>
            <w:r>
              <w:rPr>
                <w:rFonts w:hint="eastAsia" w:ascii="宋体" w:hAnsi="宋体" w:eastAsia="宋体" w:cs="宋体"/>
                <w:b/>
                <w:bCs/>
                <w:sz w:val="24"/>
                <w:szCs w:val="24"/>
                <w:highlight w:val="none"/>
              </w:rPr>
              <w:t>ISSN号</w:t>
            </w:r>
          </w:p>
        </w:tc>
      </w:tr>
      <w:tr w14:paraId="5136C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47" w:type="dxa"/>
            <w:gridSpan w:val="3"/>
            <w:vAlign w:val="center"/>
          </w:tcPr>
          <w:p w14:paraId="45146D61">
            <w:pPr>
              <w:widowControl w:val="0"/>
              <w:spacing w:before="118" w:line="226" w:lineRule="auto"/>
              <w:ind w:left="43" w:leftChars="0"/>
              <w:jc w:val="center"/>
              <w:rPr>
                <w:rFonts w:hint="default" w:ascii="宋体" w:hAnsi="宋体" w:eastAsia="宋体" w:cs="宋体"/>
                <w:b w:val="0"/>
                <w:bCs w:val="0"/>
                <w:color w:val="auto"/>
                <w:kern w:val="0"/>
                <w:sz w:val="28"/>
                <w:szCs w:val="28"/>
                <w:highlight w:val="none"/>
                <w:vertAlign w:val="baseline"/>
                <w:lang w:val="en-US" w:eastAsia="zh-CN"/>
              </w:rPr>
            </w:pPr>
            <w:r>
              <w:rPr>
                <w:rFonts w:hint="eastAsia" w:ascii="黑体" w:hAnsi="黑体" w:eastAsia="黑体" w:cs="黑体"/>
                <w:b/>
                <w:bCs/>
                <w:spacing w:val="3"/>
                <w:sz w:val="24"/>
                <w:szCs w:val="24"/>
                <w:highlight w:val="none"/>
                <w:lang w:val="en-US" w:eastAsia="zh-CN"/>
              </w:rPr>
              <w:t>一、顶尖A层次</w:t>
            </w:r>
          </w:p>
        </w:tc>
      </w:tr>
      <w:tr w14:paraId="1F46B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7" w:type="dxa"/>
            <w:vAlign w:val="center"/>
          </w:tcPr>
          <w:p w14:paraId="440FF88B">
            <w:pPr>
              <w:pStyle w:val="12"/>
              <w:widowControl w:val="0"/>
              <w:spacing w:before="137" w:line="192" w:lineRule="auto"/>
              <w:jc w:val="center"/>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w:t>
            </w:r>
          </w:p>
        </w:tc>
        <w:tc>
          <w:tcPr>
            <w:tcW w:w="6733" w:type="dxa"/>
            <w:vAlign w:val="center"/>
          </w:tcPr>
          <w:p w14:paraId="1908ABAC">
            <w:pPr>
              <w:pStyle w:val="12"/>
              <w:widowControl w:val="0"/>
              <w:spacing w:before="137" w:line="192" w:lineRule="auto"/>
              <w:jc w:val="center"/>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Science</w:t>
            </w:r>
          </w:p>
        </w:tc>
        <w:tc>
          <w:tcPr>
            <w:tcW w:w="1587" w:type="dxa"/>
            <w:vAlign w:val="center"/>
          </w:tcPr>
          <w:p w14:paraId="5AAADE92">
            <w:pPr>
              <w:pStyle w:val="12"/>
              <w:widowControl w:val="0"/>
              <w:spacing w:before="137" w:line="192" w:lineRule="auto"/>
              <w:jc w:val="center"/>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0036-8075</w:t>
            </w:r>
          </w:p>
        </w:tc>
      </w:tr>
      <w:tr w14:paraId="76157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7" w:type="dxa"/>
            <w:vAlign w:val="center"/>
          </w:tcPr>
          <w:p w14:paraId="6E1FA63D">
            <w:pPr>
              <w:pStyle w:val="12"/>
              <w:widowControl w:val="0"/>
              <w:spacing w:before="137" w:line="192" w:lineRule="auto"/>
              <w:jc w:val="center"/>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w:t>
            </w:r>
          </w:p>
        </w:tc>
        <w:tc>
          <w:tcPr>
            <w:tcW w:w="6733" w:type="dxa"/>
            <w:vAlign w:val="center"/>
          </w:tcPr>
          <w:p w14:paraId="465281A9">
            <w:pPr>
              <w:pStyle w:val="12"/>
              <w:widowControl w:val="0"/>
              <w:spacing w:before="137" w:line="192" w:lineRule="auto"/>
              <w:jc w:val="center"/>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Nature</w:t>
            </w:r>
          </w:p>
        </w:tc>
        <w:tc>
          <w:tcPr>
            <w:tcW w:w="1587" w:type="dxa"/>
            <w:vAlign w:val="center"/>
          </w:tcPr>
          <w:p w14:paraId="6E12DCA6">
            <w:pPr>
              <w:pStyle w:val="12"/>
              <w:widowControl w:val="0"/>
              <w:spacing w:before="137" w:line="192" w:lineRule="auto"/>
              <w:jc w:val="center"/>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0028-0836</w:t>
            </w:r>
          </w:p>
        </w:tc>
      </w:tr>
      <w:tr w14:paraId="20FD5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7" w:type="dxa"/>
            <w:vAlign w:val="center"/>
          </w:tcPr>
          <w:p w14:paraId="6948B7BD">
            <w:pPr>
              <w:pStyle w:val="12"/>
              <w:widowControl w:val="0"/>
              <w:spacing w:before="137" w:line="192" w:lineRule="auto"/>
              <w:jc w:val="center"/>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w:t>
            </w:r>
          </w:p>
        </w:tc>
        <w:tc>
          <w:tcPr>
            <w:tcW w:w="6733" w:type="dxa"/>
            <w:vAlign w:val="center"/>
          </w:tcPr>
          <w:p w14:paraId="546EA1C8">
            <w:pPr>
              <w:pStyle w:val="12"/>
              <w:widowControl w:val="0"/>
              <w:spacing w:before="137" w:line="192" w:lineRule="auto"/>
              <w:jc w:val="center"/>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Cell</w:t>
            </w:r>
          </w:p>
        </w:tc>
        <w:tc>
          <w:tcPr>
            <w:tcW w:w="1587" w:type="dxa"/>
            <w:vAlign w:val="center"/>
          </w:tcPr>
          <w:p w14:paraId="47F1A5B0">
            <w:pPr>
              <w:pStyle w:val="12"/>
              <w:widowControl w:val="0"/>
              <w:spacing w:before="137" w:line="192" w:lineRule="auto"/>
              <w:jc w:val="center"/>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0092-8674</w:t>
            </w:r>
          </w:p>
        </w:tc>
      </w:tr>
      <w:tr w14:paraId="1F09D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7" w:type="dxa"/>
            <w:vAlign w:val="center"/>
          </w:tcPr>
          <w:p w14:paraId="1D6D041E">
            <w:pPr>
              <w:pStyle w:val="12"/>
              <w:widowControl w:val="0"/>
              <w:spacing w:before="137" w:line="192" w:lineRule="auto"/>
              <w:jc w:val="center"/>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w:t>
            </w:r>
          </w:p>
        </w:tc>
        <w:tc>
          <w:tcPr>
            <w:tcW w:w="6733" w:type="dxa"/>
            <w:vAlign w:val="center"/>
          </w:tcPr>
          <w:p w14:paraId="43C4D234">
            <w:pPr>
              <w:pStyle w:val="12"/>
              <w:widowControl w:val="0"/>
              <w:spacing w:before="137" w:line="192" w:lineRule="auto"/>
              <w:jc w:val="center"/>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中国社会科学</w:t>
            </w:r>
          </w:p>
        </w:tc>
        <w:tc>
          <w:tcPr>
            <w:tcW w:w="1587" w:type="dxa"/>
            <w:vAlign w:val="center"/>
          </w:tcPr>
          <w:p w14:paraId="09665329">
            <w:pPr>
              <w:pStyle w:val="12"/>
              <w:widowControl w:val="0"/>
              <w:spacing w:before="137" w:line="192" w:lineRule="auto"/>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中文版：1002-4921</w:t>
            </w:r>
            <w:r>
              <w:rPr>
                <w:rFonts w:hint="eastAsia" w:ascii="宋体" w:hAnsi="宋体" w:eastAsia="宋体" w:cs="宋体"/>
                <w:sz w:val="24"/>
                <w:szCs w:val="24"/>
                <w:highlight w:val="none"/>
                <w:lang w:eastAsia="zh-CN"/>
              </w:rPr>
              <w:t>；</w:t>
            </w:r>
          </w:p>
          <w:p w14:paraId="5E79FD25">
            <w:pPr>
              <w:pStyle w:val="12"/>
              <w:widowControl w:val="0"/>
              <w:spacing w:before="137" w:line="192" w:lineRule="auto"/>
              <w:jc w:val="center"/>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英文版：0252-9203</w:t>
            </w:r>
          </w:p>
        </w:tc>
      </w:tr>
    </w:tbl>
    <w:p w14:paraId="1DB37B86">
      <w:pPr>
        <w:rPr>
          <w:rFonts w:hint="default" w:ascii="宋体" w:hAnsi="宋体" w:eastAsia="宋体" w:cs="宋体"/>
          <w:b w:val="0"/>
          <w:bCs w:val="0"/>
          <w:color w:val="auto"/>
          <w:kern w:val="0"/>
          <w:sz w:val="28"/>
          <w:szCs w:val="28"/>
          <w:highlight w:val="none"/>
          <w:lang w:val="en-US" w:eastAsia="zh-CN"/>
        </w:rPr>
      </w:pPr>
    </w:p>
    <w:p w14:paraId="3860E6B4">
      <w:pPr>
        <w:spacing w:before="128" w:line="389" w:lineRule="exact"/>
        <w:ind w:left="2560"/>
        <w:outlineLvl w:val="0"/>
        <w:rPr>
          <w:highlight w:val="none"/>
        </w:rPr>
      </w:pPr>
      <w:r>
        <w:rPr>
          <w:rFonts w:hint="eastAsia" w:ascii="黑体" w:hAnsi="黑体" w:eastAsia="黑体" w:cs="黑体"/>
          <w:b/>
          <w:bCs/>
          <w:spacing w:val="6"/>
          <w:position w:val="2"/>
          <w:sz w:val="30"/>
          <w:szCs w:val="30"/>
          <w:highlight w:val="none"/>
        </w:rPr>
        <w:t>教育学学科代表性期刊推荐目录</w:t>
      </w:r>
    </w:p>
    <w:tbl>
      <w:tblPr>
        <w:tblStyle w:val="11"/>
        <w:tblW w:w="913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39"/>
        <w:gridCol w:w="6735"/>
        <w:gridCol w:w="1559"/>
      </w:tblGrid>
      <w:tr w14:paraId="7BF80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jc w:val="center"/>
        </w:trPr>
        <w:tc>
          <w:tcPr>
            <w:tcW w:w="839" w:type="dxa"/>
            <w:vAlign w:val="center"/>
          </w:tcPr>
          <w:p w14:paraId="6DEDA501">
            <w:pPr>
              <w:spacing w:before="125" w:line="226" w:lineRule="auto"/>
              <w:ind w:left="74"/>
              <w:jc w:val="center"/>
              <w:rPr>
                <w:rFonts w:hint="eastAsia" w:ascii="宋体" w:hAnsi="宋体" w:eastAsia="宋体" w:cs="宋体"/>
                <w:sz w:val="24"/>
                <w:szCs w:val="24"/>
                <w:highlight w:val="none"/>
              </w:rPr>
            </w:pPr>
            <w:r>
              <w:rPr>
                <w:rFonts w:hint="eastAsia" w:ascii="宋体" w:hAnsi="宋体" w:eastAsia="宋体" w:cs="宋体"/>
                <w:b/>
                <w:bCs/>
                <w:sz w:val="24"/>
                <w:szCs w:val="24"/>
                <w:highlight w:val="none"/>
              </w:rPr>
              <w:t>序号</w:t>
            </w:r>
          </w:p>
        </w:tc>
        <w:tc>
          <w:tcPr>
            <w:tcW w:w="6735" w:type="dxa"/>
            <w:vAlign w:val="center"/>
          </w:tcPr>
          <w:p w14:paraId="5BBA1C16">
            <w:pPr>
              <w:spacing w:before="126" w:line="225" w:lineRule="auto"/>
              <w:ind w:left="3076"/>
              <w:jc w:val="both"/>
              <w:rPr>
                <w:rFonts w:hint="eastAsia" w:ascii="宋体" w:hAnsi="宋体" w:eastAsia="宋体" w:cs="宋体"/>
                <w:sz w:val="24"/>
                <w:szCs w:val="24"/>
                <w:highlight w:val="none"/>
              </w:rPr>
            </w:pPr>
            <w:r>
              <w:rPr>
                <w:rFonts w:hint="eastAsia" w:ascii="宋体" w:hAnsi="宋体" w:eastAsia="宋体" w:cs="宋体"/>
                <w:b/>
                <w:bCs/>
                <w:spacing w:val="2"/>
                <w:sz w:val="24"/>
                <w:szCs w:val="24"/>
                <w:highlight w:val="none"/>
              </w:rPr>
              <w:t>期刊名称</w:t>
            </w:r>
          </w:p>
        </w:tc>
        <w:tc>
          <w:tcPr>
            <w:tcW w:w="1559" w:type="dxa"/>
            <w:vAlign w:val="center"/>
          </w:tcPr>
          <w:p w14:paraId="6B8413B3">
            <w:pPr>
              <w:pStyle w:val="12"/>
              <w:spacing w:before="114" w:line="228" w:lineRule="auto"/>
              <w:ind w:left="433"/>
              <w:jc w:val="center"/>
              <w:rPr>
                <w:rFonts w:hint="eastAsia" w:ascii="宋体" w:hAnsi="宋体" w:eastAsia="宋体" w:cs="宋体"/>
                <w:sz w:val="24"/>
                <w:szCs w:val="24"/>
                <w:highlight w:val="none"/>
              </w:rPr>
            </w:pPr>
            <w:r>
              <w:rPr>
                <w:rFonts w:hint="eastAsia" w:ascii="宋体" w:hAnsi="宋体" w:eastAsia="宋体" w:cs="宋体"/>
                <w:b/>
                <w:bCs/>
                <w:sz w:val="24"/>
                <w:szCs w:val="24"/>
                <w:highlight w:val="none"/>
              </w:rPr>
              <w:t>ISSN</w:t>
            </w:r>
            <w:r>
              <w:rPr>
                <w:rFonts w:hint="eastAsia" w:ascii="宋体" w:hAnsi="宋体" w:eastAsia="宋体" w:cs="宋体"/>
                <w:b/>
                <w:bCs/>
                <w:spacing w:val="14"/>
                <w:sz w:val="24"/>
                <w:szCs w:val="24"/>
                <w:highlight w:val="none"/>
              </w:rPr>
              <w:t>号</w:t>
            </w:r>
          </w:p>
        </w:tc>
      </w:tr>
      <w:tr w14:paraId="608FC8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jc w:val="center"/>
        </w:trPr>
        <w:tc>
          <w:tcPr>
            <w:tcW w:w="9133" w:type="dxa"/>
            <w:gridSpan w:val="3"/>
            <w:vAlign w:val="center"/>
          </w:tcPr>
          <w:p w14:paraId="34FA6A90">
            <w:pPr>
              <w:spacing w:before="118" w:line="226" w:lineRule="auto"/>
              <w:ind w:left="43" w:leftChars="0"/>
              <w:jc w:val="center"/>
              <w:rPr>
                <w:rFonts w:hint="eastAsia" w:ascii="宋体" w:hAnsi="宋体" w:eastAsia="宋体" w:cs="宋体"/>
                <w:sz w:val="24"/>
                <w:szCs w:val="24"/>
                <w:highlight w:val="none"/>
              </w:rPr>
            </w:pPr>
            <w:r>
              <w:rPr>
                <w:rFonts w:hint="eastAsia" w:ascii="黑体" w:hAnsi="黑体" w:eastAsia="黑体" w:cs="黑体"/>
                <w:b/>
                <w:bCs/>
                <w:spacing w:val="3"/>
                <w:sz w:val="24"/>
                <w:szCs w:val="24"/>
                <w:highlight w:val="none"/>
                <w:lang w:val="en-US" w:eastAsia="zh-CN"/>
              </w:rPr>
              <w:t>一</w:t>
            </w:r>
            <w:r>
              <w:rPr>
                <w:rFonts w:hint="eastAsia" w:ascii="黑体" w:hAnsi="黑体" w:eastAsia="黑体" w:cs="黑体"/>
                <w:b/>
                <w:bCs/>
                <w:spacing w:val="3"/>
                <w:sz w:val="24"/>
                <w:szCs w:val="24"/>
                <w:highlight w:val="none"/>
              </w:rPr>
              <w:t>、顶尖B层次</w:t>
            </w:r>
          </w:p>
        </w:tc>
      </w:tr>
      <w:tr w14:paraId="2F13DB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3" w:hRule="atLeast"/>
          <w:jc w:val="center"/>
        </w:trPr>
        <w:tc>
          <w:tcPr>
            <w:tcW w:w="839" w:type="dxa"/>
            <w:vAlign w:val="center"/>
          </w:tcPr>
          <w:p w14:paraId="1EC59F34">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6735" w:type="dxa"/>
            <w:vAlign w:val="center"/>
          </w:tcPr>
          <w:p w14:paraId="5B93F05E">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教育研究</w:t>
            </w:r>
          </w:p>
        </w:tc>
        <w:tc>
          <w:tcPr>
            <w:tcW w:w="1559" w:type="dxa"/>
            <w:vAlign w:val="center"/>
          </w:tcPr>
          <w:p w14:paraId="4FE80DC7">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1002-5731</w:t>
            </w:r>
          </w:p>
        </w:tc>
      </w:tr>
      <w:tr w14:paraId="1FA91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3" w:hRule="atLeast"/>
          <w:jc w:val="center"/>
        </w:trPr>
        <w:tc>
          <w:tcPr>
            <w:tcW w:w="839" w:type="dxa"/>
            <w:vAlign w:val="center"/>
          </w:tcPr>
          <w:p w14:paraId="7007BC8D">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6735" w:type="dxa"/>
            <w:vAlign w:val="center"/>
          </w:tcPr>
          <w:p w14:paraId="114F8B6E">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Review of Educational Research</w:t>
            </w:r>
          </w:p>
        </w:tc>
        <w:tc>
          <w:tcPr>
            <w:tcW w:w="1559" w:type="dxa"/>
            <w:vAlign w:val="center"/>
          </w:tcPr>
          <w:p w14:paraId="43366392">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0034-6543</w:t>
            </w:r>
          </w:p>
        </w:tc>
      </w:tr>
      <w:tr w14:paraId="5077EE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jc w:val="center"/>
        </w:trPr>
        <w:tc>
          <w:tcPr>
            <w:tcW w:w="839" w:type="dxa"/>
            <w:vAlign w:val="center"/>
          </w:tcPr>
          <w:p w14:paraId="35CF60F9">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6735" w:type="dxa"/>
            <w:vAlign w:val="center"/>
          </w:tcPr>
          <w:p w14:paraId="2B629579">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Computers &amp; Education</w:t>
            </w:r>
          </w:p>
        </w:tc>
        <w:tc>
          <w:tcPr>
            <w:tcW w:w="1559" w:type="dxa"/>
            <w:vAlign w:val="center"/>
          </w:tcPr>
          <w:p w14:paraId="38A2FA30">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0360-1315</w:t>
            </w:r>
          </w:p>
        </w:tc>
      </w:tr>
      <w:tr w14:paraId="093FC0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3" w:hRule="atLeast"/>
          <w:jc w:val="center"/>
        </w:trPr>
        <w:tc>
          <w:tcPr>
            <w:tcW w:w="839" w:type="dxa"/>
            <w:vAlign w:val="center"/>
          </w:tcPr>
          <w:p w14:paraId="10250296">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4</w:t>
            </w:r>
          </w:p>
        </w:tc>
        <w:tc>
          <w:tcPr>
            <w:tcW w:w="6735" w:type="dxa"/>
            <w:vAlign w:val="center"/>
          </w:tcPr>
          <w:p w14:paraId="49EE16AA">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Educational Research Review</w:t>
            </w:r>
          </w:p>
        </w:tc>
        <w:tc>
          <w:tcPr>
            <w:tcW w:w="1559" w:type="dxa"/>
            <w:vAlign w:val="center"/>
          </w:tcPr>
          <w:p w14:paraId="770306E0">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1747-938X</w:t>
            </w:r>
          </w:p>
        </w:tc>
      </w:tr>
      <w:tr w14:paraId="7658F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jc w:val="center"/>
        </w:trPr>
        <w:tc>
          <w:tcPr>
            <w:tcW w:w="839" w:type="dxa"/>
            <w:vAlign w:val="center"/>
          </w:tcPr>
          <w:p w14:paraId="0DCA8286">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5</w:t>
            </w:r>
          </w:p>
        </w:tc>
        <w:tc>
          <w:tcPr>
            <w:tcW w:w="6735" w:type="dxa"/>
            <w:vAlign w:val="center"/>
          </w:tcPr>
          <w:p w14:paraId="3F8DB06A">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Learning and Instruction</w:t>
            </w:r>
          </w:p>
        </w:tc>
        <w:tc>
          <w:tcPr>
            <w:tcW w:w="1559" w:type="dxa"/>
            <w:vAlign w:val="center"/>
          </w:tcPr>
          <w:p w14:paraId="11A01A69">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0959-4752</w:t>
            </w:r>
          </w:p>
        </w:tc>
      </w:tr>
      <w:tr w14:paraId="53B70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3" w:hRule="atLeast"/>
          <w:jc w:val="center"/>
        </w:trPr>
        <w:tc>
          <w:tcPr>
            <w:tcW w:w="9133" w:type="dxa"/>
            <w:gridSpan w:val="3"/>
            <w:vAlign w:val="center"/>
          </w:tcPr>
          <w:p w14:paraId="67DBC114">
            <w:pPr>
              <w:spacing w:before="118" w:line="226" w:lineRule="auto"/>
              <w:ind w:left="43" w:leftChars="0"/>
              <w:jc w:val="center"/>
              <w:rPr>
                <w:rFonts w:hint="eastAsia" w:ascii="宋体" w:hAnsi="宋体" w:eastAsia="宋体" w:cs="宋体"/>
                <w:sz w:val="24"/>
                <w:szCs w:val="24"/>
                <w:highlight w:val="none"/>
              </w:rPr>
            </w:pPr>
            <w:r>
              <w:rPr>
                <w:rFonts w:hint="eastAsia" w:ascii="黑体" w:hAnsi="黑体" w:eastAsia="黑体" w:cs="黑体"/>
                <w:b/>
                <w:bCs/>
                <w:spacing w:val="3"/>
                <w:sz w:val="24"/>
                <w:szCs w:val="24"/>
                <w:highlight w:val="none"/>
                <w:lang w:val="en-US" w:eastAsia="zh-CN"/>
              </w:rPr>
              <w:t>二</w:t>
            </w:r>
            <w:r>
              <w:rPr>
                <w:rFonts w:hint="eastAsia" w:ascii="黑体" w:hAnsi="黑体" w:eastAsia="黑体" w:cs="黑体"/>
                <w:b/>
                <w:bCs/>
                <w:spacing w:val="3"/>
                <w:sz w:val="24"/>
                <w:szCs w:val="24"/>
                <w:highlight w:val="none"/>
              </w:rPr>
              <w:t>、一类层次</w:t>
            </w:r>
          </w:p>
        </w:tc>
      </w:tr>
      <w:tr w14:paraId="4C8B0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jc w:val="center"/>
        </w:trPr>
        <w:tc>
          <w:tcPr>
            <w:tcW w:w="839" w:type="dxa"/>
            <w:vAlign w:val="center"/>
          </w:tcPr>
          <w:p w14:paraId="797C4584">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6735" w:type="dxa"/>
            <w:vAlign w:val="center"/>
          </w:tcPr>
          <w:p w14:paraId="7EE98BC1">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教育学报</w:t>
            </w:r>
          </w:p>
        </w:tc>
        <w:tc>
          <w:tcPr>
            <w:tcW w:w="1559" w:type="dxa"/>
            <w:vAlign w:val="center"/>
          </w:tcPr>
          <w:p w14:paraId="4195B290">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1673-1298</w:t>
            </w:r>
          </w:p>
        </w:tc>
      </w:tr>
      <w:tr w14:paraId="48716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3" w:hRule="atLeast"/>
          <w:jc w:val="center"/>
        </w:trPr>
        <w:tc>
          <w:tcPr>
            <w:tcW w:w="839" w:type="dxa"/>
            <w:vAlign w:val="center"/>
          </w:tcPr>
          <w:p w14:paraId="7CB10DFD">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6735" w:type="dxa"/>
            <w:vAlign w:val="center"/>
          </w:tcPr>
          <w:p w14:paraId="4AD1DA1E">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华东师范大学学报（教育科学版）</w:t>
            </w:r>
          </w:p>
        </w:tc>
        <w:tc>
          <w:tcPr>
            <w:tcW w:w="1559" w:type="dxa"/>
            <w:vAlign w:val="center"/>
          </w:tcPr>
          <w:p w14:paraId="4080D9BA">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1000-5560</w:t>
            </w:r>
          </w:p>
        </w:tc>
      </w:tr>
      <w:tr w14:paraId="6FC89E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3" w:hRule="atLeast"/>
          <w:jc w:val="center"/>
        </w:trPr>
        <w:tc>
          <w:tcPr>
            <w:tcW w:w="839" w:type="dxa"/>
            <w:vAlign w:val="center"/>
          </w:tcPr>
          <w:p w14:paraId="798CBA84">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6735" w:type="dxa"/>
            <w:vAlign w:val="center"/>
          </w:tcPr>
          <w:p w14:paraId="17BBDDD9">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教育发展研究</w:t>
            </w:r>
          </w:p>
        </w:tc>
        <w:tc>
          <w:tcPr>
            <w:tcW w:w="1559" w:type="dxa"/>
            <w:vAlign w:val="center"/>
          </w:tcPr>
          <w:p w14:paraId="2506CF63">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1008-3855</w:t>
            </w:r>
          </w:p>
        </w:tc>
      </w:tr>
      <w:tr w14:paraId="21615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3" w:hRule="atLeast"/>
          <w:jc w:val="center"/>
        </w:trPr>
        <w:tc>
          <w:tcPr>
            <w:tcW w:w="839" w:type="dxa"/>
            <w:vAlign w:val="center"/>
          </w:tcPr>
          <w:p w14:paraId="09A17CF2">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4</w:t>
            </w:r>
          </w:p>
        </w:tc>
        <w:tc>
          <w:tcPr>
            <w:tcW w:w="6735" w:type="dxa"/>
            <w:vAlign w:val="center"/>
          </w:tcPr>
          <w:p w14:paraId="25BD6D13">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北京大学教育评论</w:t>
            </w:r>
          </w:p>
        </w:tc>
        <w:tc>
          <w:tcPr>
            <w:tcW w:w="1559" w:type="dxa"/>
            <w:vAlign w:val="center"/>
          </w:tcPr>
          <w:p w14:paraId="570781CF">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1671-9468</w:t>
            </w:r>
          </w:p>
        </w:tc>
      </w:tr>
      <w:tr w14:paraId="088AB5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jc w:val="center"/>
        </w:trPr>
        <w:tc>
          <w:tcPr>
            <w:tcW w:w="839" w:type="dxa"/>
            <w:vAlign w:val="center"/>
          </w:tcPr>
          <w:p w14:paraId="17FC86FF">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5</w:t>
            </w:r>
          </w:p>
        </w:tc>
        <w:tc>
          <w:tcPr>
            <w:tcW w:w="6735" w:type="dxa"/>
            <w:vAlign w:val="center"/>
          </w:tcPr>
          <w:p w14:paraId="41F6E916">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比较教育研究</w:t>
            </w:r>
          </w:p>
        </w:tc>
        <w:tc>
          <w:tcPr>
            <w:tcW w:w="1559" w:type="dxa"/>
            <w:vAlign w:val="center"/>
          </w:tcPr>
          <w:p w14:paraId="5FF4D9A3">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1003-7667</w:t>
            </w:r>
          </w:p>
        </w:tc>
      </w:tr>
      <w:tr w14:paraId="56403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3" w:hRule="atLeast"/>
          <w:jc w:val="center"/>
        </w:trPr>
        <w:tc>
          <w:tcPr>
            <w:tcW w:w="839" w:type="dxa"/>
            <w:vAlign w:val="center"/>
          </w:tcPr>
          <w:p w14:paraId="56C5817C">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6</w:t>
            </w:r>
          </w:p>
        </w:tc>
        <w:tc>
          <w:tcPr>
            <w:tcW w:w="6735" w:type="dxa"/>
            <w:vAlign w:val="center"/>
          </w:tcPr>
          <w:p w14:paraId="2C87B5A0">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课程•教材•教法</w:t>
            </w:r>
          </w:p>
        </w:tc>
        <w:tc>
          <w:tcPr>
            <w:tcW w:w="1559" w:type="dxa"/>
            <w:vAlign w:val="center"/>
          </w:tcPr>
          <w:p w14:paraId="6A2A9073">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1000-0186</w:t>
            </w:r>
          </w:p>
        </w:tc>
      </w:tr>
      <w:tr w14:paraId="04589F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3" w:hRule="atLeast"/>
          <w:jc w:val="center"/>
        </w:trPr>
        <w:tc>
          <w:tcPr>
            <w:tcW w:w="839" w:type="dxa"/>
            <w:vAlign w:val="center"/>
          </w:tcPr>
          <w:p w14:paraId="5B0CF7CA">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7</w:t>
            </w:r>
          </w:p>
        </w:tc>
        <w:tc>
          <w:tcPr>
            <w:tcW w:w="6735" w:type="dxa"/>
            <w:vAlign w:val="center"/>
          </w:tcPr>
          <w:p w14:paraId="0FCAA183">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教师教育研究</w:t>
            </w:r>
          </w:p>
        </w:tc>
        <w:tc>
          <w:tcPr>
            <w:tcW w:w="1559" w:type="dxa"/>
            <w:vAlign w:val="center"/>
          </w:tcPr>
          <w:p w14:paraId="6A29AB2B">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1672-5905</w:t>
            </w:r>
          </w:p>
        </w:tc>
      </w:tr>
      <w:tr w14:paraId="6F90A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3" w:hRule="atLeast"/>
          <w:jc w:val="center"/>
        </w:trPr>
        <w:tc>
          <w:tcPr>
            <w:tcW w:w="839" w:type="dxa"/>
            <w:vAlign w:val="center"/>
          </w:tcPr>
          <w:p w14:paraId="60F287F3">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8</w:t>
            </w:r>
          </w:p>
        </w:tc>
        <w:tc>
          <w:tcPr>
            <w:tcW w:w="6735" w:type="dxa"/>
            <w:vAlign w:val="center"/>
          </w:tcPr>
          <w:p w14:paraId="2B992643">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中国电化教育</w:t>
            </w:r>
          </w:p>
        </w:tc>
        <w:tc>
          <w:tcPr>
            <w:tcW w:w="1559" w:type="dxa"/>
            <w:vAlign w:val="center"/>
          </w:tcPr>
          <w:p w14:paraId="1651C2DD">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1006-9860</w:t>
            </w:r>
          </w:p>
        </w:tc>
      </w:tr>
      <w:tr w14:paraId="4255CB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3" w:hRule="atLeast"/>
          <w:jc w:val="center"/>
        </w:trPr>
        <w:tc>
          <w:tcPr>
            <w:tcW w:w="839" w:type="dxa"/>
            <w:vAlign w:val="center"/>
          </w:tcPr>
          <w:p w14:paraId="28506945">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9</w:t>
            </w:r>
          </w:p>
        </w:tc>
        <w:tc>
          <w:tcPr>
            <w:tcW w:w="6735" w:type="dxa"/>
            <w:vAlign w:val="center"/>
          </w:tcPr>
          <w:p w14:paraId="27240737">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电化教育研究</w:t>
            </w:r>
          </w:p>
        </w:tc>
        <w:tc>
          <w:tcPr>
            <w:tcW w:w="1559" w:type="dxa"/>
            <w:vAlign w:val="center"/>
          </w:tcPr>
          <w:p w14:paraId="731250E7">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1003-1553</w:t>
            </w:r>
          </w:p>
        </w:tc>
      </w:tr>
      <w:tr w14:paraId="098C21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3" w:hRule="atLeast"/>
          <w:jc w:val="center"/>
        </w:trPr>
        <w:tc>
          <w:tcPr>
            <w:tcW w:w="839" w:type="dxa"/>
            <w:vAlign w:val="center"/>
          </w:tcPr>
          <w:p w14:paraId="074250CB">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10</w:t>
            </w:r>
          </w:p>
        </w:tc>
        <w:tc>
          <w:tcPr>
            <w:tcW w:w="6735" w:type="dxa"/>
            <w:vAlign w:val="center"/>
          </w:tcPr>
          <w:p w14:paraId="1EDDB8D2">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高等教育研究</w:t>
            </w:r>
          </w:p>
        </w:tc>
        <w:tc>
          <w:tcPr>
            <w:tcW w:w="1559" w:type="dxa"/>
            <w:vAlign w:val="center"/>
          </w:tcPr>
          <w:p w14:paraId="665514A0">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1000-4203</w:t>
            </w:r>
          </w:p>
        </w:tc>
      </w:tr>
      <w:tr w14:paraId="6914D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3" w:hRule="atLeast"/>
          <w:jc w:val="center"/>
        </w:trPr>
        <w:tc>
          <w:tcPr>
            <w:tcW w:w="839" w:type="dxa"/>
            <w:vAlign w:val="center"/>
          </w:tcPr>
          <w:p w14:paraId="2E8E620B">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11</w:t>
            </w:r>
          </w:p>
        </w:tc>
        <w:tc>
          <w:tcPr>
            <w:tcW w:w="6735" w:type="dxa"/>
            <w:vAlign w:val="center"/>
          </w:tcPr>
          <w:p w14:paraId="2F50B154">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Teaching and Teacher Education</w:t>
            </w:r>
          </w:p>
        </w:tc>
        <w:tc>
          <w:tcPr>
            <w:tcW w:w="1559" w:type="dxa"/>
            <w:vAlign w:val="center"/>
          </w:tcPr>
          <w:p w14:paraId="5C84E204">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0742-051X</w:t>
            </w:r>
          </w:p>
        </w:tc>
      </w:tr>
      <w:tr w14:paraId="469A90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3" w:hRule="atLeast"/>
          <w:jc w:val="center"/>
        </w:trPr>
        <w:tc>
          <w:tcPr>
            <w:tcW w:w="839" w:type="dxa"/>
            <w:vAlign w:val="center"/>
          </w:tcPr>
          <w:p w14:paraId="3A8BE1A8">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12</w:t>
            </w:r>
          </w:p>
        </w:tc>
        <w:tc>
          <w:tcPr>
            <w:tcW w:w="6735" w:type="dxa"/>
            <w:vAlign w:val="center"/>
          </w:tcPr>
          <w:p w14:paraId="79909EA6">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Review of Research in Education</w:t>
            </w:r>
          </w:p>
        </w:tc>
        <w:tc>
          <w:tcPr>
            <w:tcW w:w="1559" w:type="dxa"/>
            <w:vAlign w:val="center"/>
          </w:tcPr>
          <w:p w14:paraId="1AB2F334">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0091-732X</w:t>
            </w:r>
          </w:p>
        </w:tc>
      </w:tr>
      <w:tr w14:paraId="2DF1E5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jc w:val="center"/>
        </w:trPr>
        <w:tc>
          <w:tcPr>
            <w:tcW w:w="839" w:type="dxa"/>
            <w:vAlign w:val="center"/>
          </w:tcPr>
          <w:p w14:paraId="39D9E192">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13</w:t>
            </w:r>
          </w:p>
        </w:tc>
        <w:tc>
          <w:tcPr>
            <w:tcW w:w="6735" w:type="dxa"/>
            <w:vAlign w:val="center"/>
          </w:tcPr>
          <w:p w14:paraId="62BED061">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American Educational Research Journal</w:t>
            </w:r>
          </w:p>
        </w:tc>
        <w:tc>
          <w:tcPr>
            <w:tcW w:w="1559" w:type="dxa"/>
            <w:vAlign w:val="center"/>
          </w:tcPr>
          <w:p w14:paraId="72E6EC82">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0002-8312</w:t>
            </w:r>
          </w:p>
        </w:tc>
      </w:tr>
      <w:tr w14:paraId="5614B0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3" w:hRule="atLeast"/>
          <w:jc w:val="center"/>
        </w:trPr>
        <w:tc>
          <w:tcPr>
            <w:tcW w:w="839" w:type="dxa"/>
            <w:vAlign w:val="center"/>
          </w:tcPr>
          <w:p w14:paraId="2146CBDD">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14</w:t>
            </w:r>
          </w:p>
        </w:tc>
        <w:tc>
          <w:tcPr>
            <w:tcW w:w="6735" w:type="dxa"/>
            <w:vAlign w:val="center"/>
          </w:tcPr>
          <w:p w14:paraId="295DEC5D">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Educational Researcher</w:t>
            </w:r>
          </w:p>
        </w:tc>
        <w:tc>
          <w:tcPr>
            <w:tcW w:w="1559" w:type="dxa"/>
            <w:vAlign w:val="center"/>
          </w:tcPr>
          <w:p w14:paraId="38BB363A">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0013-189X</w:t>
            </w:r>
          </w:p>
        </w:tc>
      </w:tr>
      <w:tr w14:paraId="2D7545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jc w:val="center"/>
        </w:trPr>
        <w:tc>
          <w:tcPr>
            <w:tcW w:w="839" w:type="dxa"/>
            <w:vAlign w:val="center"/>
          </w:tcPr>
          <w:p w14:paraId="032E784A">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15</w:t>
            </w:r>
          </w:p>
        </w:tc>
        <w:tc>
          <w:tcPr>
            <w:tcW w:w="6735" w:type="dxa"/>
            <w:vAlign w:val="center"/>
          </w:tcPr>
          <w:p w14:paraId="143AD16E">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Comparative Education</w:t>
            </w:r>
          </w:p>
        </w:tc>
        <w:tc>
          <w:tcPr>
            <w:tcW w:w="1559" w:type="dxa"/>
            <w:vAlign w:val="center"/>
          </w:tcPr>
          <w:p w14:paraId="0546EE75">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0305-0068</w:t>
            </w:r>
          </w:p>
        </w:tc>
      </w:tr>
      <w:tr w14:paraId="509D01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3" w:hRule="atLeast"/>
          <w:jc w:val="center"/>
        </w:trPr>
        <w:tc>
          <w:tcPr>
            <w:tcW w:w="839" w:type="dxa"/>
            <w:vAlign w:val="center"/>
          </w:tcPr>
          <w:p w14:paraId="5FDB3979">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16</w:t>
            </w:r>
          </w:p>
        </w:tc>
        <w:tc>
          <w:tcPr>
            <w:tcW w:w="6735" w:type="dxa"/>
            <w:vAlign w:val="center"/>
          </w:tcPr>
          <w:p w14:paraId="0821384E">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Early Childhood Research Quarterly</w:t>
            </w:r>
          </w:p>
        </w:tc>
        <w:tc>
          <w:tcPr>
            <w:tcW w:w="1559" w:type="dxa"/>
            <w:vAlign w:val="center"/>
          </w:tcPr>
          <w:p w14:paraId="460E1A94">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0885-2006</w:t>
            </w:r>
          </w:p>
        </w:tc>
      </w:tr>
      <w:tr w14:paraId="3E4608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3" w:hRule="atLeast"/>
          <w:jc w:val="center"/>
        </w:trPr>
        <w:tc>
          <w:tcPr>
            <w:tcW w:w="839" w:type="dxa"/>
            <w:vAlign w:val="center"/>
          </w:tcPr>
          <w:p w14:paraId="407656B5">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17</w:t>
            </w:r>
          </w:p>
        </w:tc>
        <w:tc>
          <w:tcPr>
            <w:tcW w:w="6735" w:type="dxa"/>
            <w:vAlign w:val="center"/>
          </w:tcPr>
          <w:p w14:paraId="6A20CCFE">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Journal of Research in Science Teaching</w:t>
            </w:r>
          </w:p>
        </w:tc>
        <w:tc>
          <w:tcPr>
            <w:tcW w:w="1559" w:type="dxa"/>
            <w:vAlign w:val="center"/>
          </w:tcPr>
          <w:p w14:paraId="458E47C6">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0022-4308</w:t>
            </w:r>
          </w:p>
        </w:tc>
      </w:tr>
      <w:tr w14:paraId="3C65BC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3" w:hRule="atLeast"/>
          <w:jc w:val="center"/>
        </w:trPr>
        <w:tc>
          <w:tcPr>
            <w:tcW w:w="839" w:type="dxa"/>
            <w:vAlign w:val="center"/>
          </w:tcPr>
          <w:p w14:paraId="6ACD094A">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18</w:t>
            </w:r>
          </w:p>
        </w:tc>
        <w:tc>
          <w:tcPr>
            <w:tcW w:w="6735" w:type="dxa"/>
            <w:vAlign w:val="center"/>
          </w:tcPr>
          <w:p w14:paraId="6ABEA86B">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Science Education</w:t>
            </w:r>
          </w:p>
        </w:tc>
        <w:tc>
          <w:tcPr>
            <w:tcW w:w="1559" w:type="dxa"/>
            <w:vAlign w:val="center"/>
          </w:tcPr>
          <w:p w14:paraId="1DEB2239">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0036-8326</w:t>
            </w:r>
          </w:p>
        </w:tc>
      </w:tr>
      <w:tr w14:paraId="2B774F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3" w:hRule="atLeast"/>
          <w:jc w:val="center"/>
        </w:trPr>
        <w:tc>
          <w:tcPr>
            <w:tcW w:w="839" w:type="dxa"/>
            <w:vAlign w:val="center"/>
          </w:tcPr>
          <w:p w14:paraId="3B9D1908">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19</w:t>
            </w:r>
          </w:p>
        </w:tc>
        <w:tc>
          <w:tcPr>
            <w:tcW w:w="6735" w:type="dxa"/>
            <w:vAlign w:val="center"/>
          </w:tcPr>
          <w:p w14:paraId="18CC216D">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International Journal of STEM Education</w:t>
            </w:r>
          </w:p>
        </w:tc>
        <w:tc>
          <w:tcPr>
            <w:tcW w:w="1559" w:type="dxa"/>
            <w:vAlign w:val="center"/>
          </w:tcPr>
          <w:p w14:paraId="2E5C2D6A">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2196-7822</w:t>
            </w:r>
          </w:p>
        </w:tc>
      </w:tr>
      <w:tr w14:paraId="5D0EE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3" w:hRule="atLeast"/>
          <w:jc w:val="center"/>
        </w:trPr>
        <w:tc>
          <w:tcPr>
            <w:tcW w:w="839" w:type="dxa"/>
            <w:vAlign w:val="center"/>
          </w:tcPr>
          <w:p w14:paraId="5145DC50">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20</w:t>
            </w:r>
          </w:p>
        </w:tc>
        <w:tc>
          <w:tcPr>
            <w:tcW w:w="6735" w:type="dxa"/>
            <w:vAlign w:val="center"/>
          </w:tcPr>
          <w:p w14:paraId="714741BB">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International Journal of Educational Technology in Higher Education</w:t>
            </w:r>
          </w:p>
        </w:tc>
        <w:tc>
          <w:tcPr>
            <w:tcW w:w="1559" w:type="dxa"/>
            <w:vAlign w:val="center"/>
          </w:tcPr>
          <w:p w14:paraId="687238FF">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2365-9440</w:t>
            </w:r>
          </w:p>
        </w:tc>
      </w:tr>
      <w:tr w14:paraId="4786DC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jc w:val="center"/>
        </w:trPr>
        <w:tc>
          <w:tcPr>
            <w:tcW w:w="839" w:type="dxa"/>
            <w:vAlign w:val="center"/>
          </w:tcPr>
          <w:p w14:paraId="569B98E1">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21</w:t>
            </w:r>
          </w:p>
        </w:tc>
        <w:tc>
          <w:tcPr>
            <w:tcW w:w="6735" w:type="dxa"/>
            <w:vAlign w:val="center"/>
          </w:tcPr>
          <w:p w14:paraId="5E9D5230">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Distance Education</w:t>
            </w:r>
          </w:p>
        </w:tc>
        <w:tc>
          <w:tcPr>
            <w:tcW w:w="1559" w:type="dxa"/>
            <w:vAlign w:val="center"/>
          </w:tcPr>
          <w:p w14:paraId="1B372EC6">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0158-7919</w:t>
            </w:r>
          </w:p>
        </w:tc>
      </w:tr>
      <w:tr w14:paraId="434B3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jc w:val="center"/>
        </w:trPr>
        <w:tc>
          <w:tcPr>
            <w:tcW w:w="839" w:type="dxa"/>
            <w:vAlign w:val="center"/>
          </w:tcPr>
          <w:p w14:paraId="1F0057AC">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22</w:t>
            </w:r>
          </w:p>
        </w:tc>
        <w:tc>
          <w:tcPr>
            <w:tcW w:w="6735" w:type="dxa"/>
            <w:vAlign w:val="center"/>
          </w:tcPr>
          <w:p w14:paraId="37393721">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British Journal of Educational Technology</w:t>
            </w:r>
          </w:p>
        </w:tc>
        <w:tc>
          <w:tcPr>
            <w:tcW w:w="1559" w:type="dxa"/>
            <w:vAlign w:val="center"/>
          </w:tcPr>
          <w:p w14:paraId="1B8F6B46">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0007-1013</w:t>
            </w:r>
          </w:p>
        </w:tc>
      </w:tr>
      <w:tr w14:paraId="1C493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jc w:val="center"/>
        </w:trPr>
        <w:tc>
          <w:tcPr>
            <w:tcW w:w="839" w:type="dxa"/>
            <w:vAlign w:val="center"/>
          </w:tcPr>
          <w:p w14:paraId="50F1EB23">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23</w:t>
            </w:r>
          </w:p>
        </w:tc>
        <w:tc>
          <w:tcPr>
            <w:tcW w:w="6735" w:type="dxa"/>
            <w:vAlign w:val="center"/>
          </w:tcPr>
          <w:p w14:paraId="473E2DAA">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Higher Education</w:t>
            </w:r>
          </w:p>
        </w:tc>
        <w:tc>
          <w:tcPr>
            <w:tcW w:w="1559" w:type="dxa"/>
            <w:vAlign w:val="center"/>
          </w:tcPr>
          <w:p w14:paraId="03593A9D">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0018-1560</w:t>
            </w:r>
          </w:p>
        </w:tc>
      </w:tr>
      <w:tr w14:paraId="310F9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jc w:val="center"/>
        </w:trPr>
        <w:tc>
          <w:tcPr>
            <w:tcW w:w="839" w:type="dxa"/>
            <w:vAlign w:val="center"/>
          </w:tcPr>
          <w:p w14:paraId="640C3F8E">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24</w:t>
            </w:r>
          </w:p>
        </w:tc>
        <w:tc>
          <w:tcPr>
            <w:tcW w:w="6735" w:type="dxa"/>
            <w:vAlign w:val="center"/>
          </w:tcPr>
          <w:p w14:paraId="481DF4D5">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International Journal of Inclusive Education</w:t>
            </w:r>
          </w:p>
        </w:tc>
        <w:tc>
          <w:tcPr>
            <w:tcW w:w="1559" w:type="dxa"/>
            <w:vAlign w:val="center"/>
          </w:tcPr>
          <w:p w14:paraId="552E5088">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1360-3116</w:t>
            </w:r>
          </w:p>
        </w:tc>
      </w:tr>
      <w:tr w14:paraId="6CB4C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jc w:val="center"/>
        </w:trPr>
        <w:tc>
          <w:tcPr>
            <w:tcW w:w="839" w:type="dxa"/>
            <w:vAlign w:val="center"/>
          </w:tcPr>
          <w:p w14:paraId="6E05FC33">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25</w:t>
            </w:r>
          </w:p>
        </w:tc>
        <w:tc>
          <w:tcPr>
            <w:tcW w:w="6735" w:type="dxa"/>
            <w:vAlign w:val="center"/>
          </w:tcPr>
          <w:p w14:paraId="2348E153">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Learning Media and Technology</w:t>
            </w:r>
          </w:p>
        </w:tc>
        <w:tc>
          <w:tcPr>
            <w:tcW w:w="1559" w:type="dxa"/>
            <w:vAlign w:val="center"/>
          </w:tcPr>
          <w:p w14:paraId="5796C866">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1743-9884</w:t>
            </w:r>
          </w:p>
        </w:tc>
      </w:tr>
      <w:tr w14:paraId="7E202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jc w:val="center"/>
        </w:trPr>
        <w:tc>
          <w:tcPr>
            <w:tcW w:w="839" w:type="dxa"/>
            <w:vAlign w:val="center"/>
          </w:tcPr>
          <w:p w14:paraId="550AD18D">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26</w:t>
            </w:r>
          </w:p>
        </w:tc>
        <w:tc>
          <w:tcPr>
            <w:tcW w:w="6735" w:type="dxa"/>
            <w:vAlign w:val="center"/>
          </w:tcPr>
          <w:p w14:paraId="59E9CB36">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Sociology of Education</w:t>
            </w:r>
          </w:p>
        </w:tc>
        <w:tc>
          <w:tcPr>
            <w:tcW w:w="1559" w:type="dxa"/>
            <w:vAlign w:val="center"/>
          </w:tcPr>
          <w:p w14:paraId="7457D5C8">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0038-0407</w:t>
            </w:r>
          </w:p>
        </w:tc>
      </w:tr>
      <w:tr w14:paraId="69A9FE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jc w:val="center"/>
        </w:trPr>
        <w:tc>
          <w:tcPr>
            <w:tcW w:w="839" w:type="dxa"/>
            <w:vAlign w:val="center"/>
          </w:tcPr>
          <w:p w14:paraId="2D6B227D">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27</w:t>
            </w:r>
          </w:p>
        </w:tc>
        <w:tc>
          <w:tcPr>
            <w:tcW w:w="6735" w:type="dxa"/>
            <w:vAlign w:val="center"/>
          </w:tcPr>
          <w:p w14:paraId="54347CE1">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Active Learning in Higher Education</w:t>
            </w:r>
          </w:p>
        </w:tc>
        <w:tc>
          <w:tcPr>
            <w:tcW w:w="1559" w:type="dxa"/>
            <w:vAlign w:val="center"/>
          </w:tcPr>
          <w:p w14:paraId="3DCBA1EC">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1469-7874</w:t>
            </w:r>
          </w:p>
        </w:tc>
      </w:tr>
      <w:tr w14:paraId="194CB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jc w:val="center"/>
        </w:trPr>
        <w:tc>
          <w:tcPr>
            <w:tcW w:w="839" w:type="dxa"/>
            <w:vAlign w:val="center"/>
          </w:tcPr>
          <w:p w14:paraId="16334460">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28</w:t>
            </w:r>
          </w:p>
        </w:tc>
        <w:tc>
          <w:tcPr>
            <w:tcW w:w="6735" w:type="dxa"/>
            <w:vAlign w:val="center"/>
          </w:tcPr>
          <w:p w14:paraId="521D06BE">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Educational Evaluation and Policy Analysis</w:t>
            </w:r>
          </w:p>
        </w:tc>
        <w:tc>
          <w:tcPr>
            <w:tcW w:w="1559" w:type="dxa"/>
            <w:vAlign w:val="center"/>
          </w:tcPr>
          <w:p w14:paraId="0E2EC2AC">
            <w:pPr>
              <w:pStyle w:val="12"/>
              <w:spacing w:before="137" w:line="19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0162-3737</w:t>
            </w:r>
          </w:p>
        </w:tc>
      </w:tr>
      <w:tr w14:paraId="29ECC4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jc w:val="center"/>
        </w:trPr>
        <w:tc>
          <w:tcPr>
            <w:tcW w:w="9133" w:type="dxa"/>
            <w:gridSpan w:val="3"/>
            <w:vAlign w:val="center"/>
          </w:tcPr>
          <w:p w14:paraId="562F24DC">
            <w:pPr>
              <w:spacing w:before="118" w:line="226" w:lineRule="auto"/>
              <w:ind w:left="43" w:leftChars="0"/>
              <w:jc w:val="center"/>
              <w:rPr>
                <w:rFonts w:hint="eastAsia" w:ascii="宋体" w:hAnsi="宋体" w:eastAsia="宋体" w:cs="宋体"/>
                <w:spacing w:val="2"/>
                <w:sz w:val="24"/>
                <w:szCs w:val="24"/>
                <w:highlight w:val="none"/>
              </w:rPr>
            </w:pPr>
            <w:r>
              <w:rPr>
                <w:rFonts w:hint="eastAsia" w:ascii="黑体" w:hAnsi="黑体" w:eastAsia="黑体" w:cs="黑体"/>
                <w:b/>
                <w:bCs/>
                <w:spacing w:val="3"/>
                <w:sz w:val="24"/>
                <w:szCs w:val="24"/>
                <w:highlight w:val="none"/>
                <w:lang w:val="en-US" w:eastAsia="zh-CN"/>
              </w:rPr>
              <w:t>三</w:t>
            </w:r>
            <w:r>
              <w:rPr>
                <w:rFonts w:hint="eastAsia" w:ascii="黑体" w:hAnsi="黑体" w:eastAsia="黑体" w:cs="黑体"/>
                <w:b/>
                <w:bCs/>
                <w:spacing w:val="3"/>
                <w:sz w:val="24"/>
                <w:szCs w:val="24"/>
                <w:highlight w:val="none"/>
              </w:rPr>
              <w:t>、二类层次</w:t>
            </w:r>
          </w:p>
        </w:tc>
      </w:tr>
      <w:tr w14:paraId="28612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jc w:val="center"/>
        </w:trPr>
        <w:tc>
          <w:tcPr>
            <w:tcW w:w="839" w:type="dxa"/>
            <w:vAlign w:val="center"/>
          </w:tcPr>
          <w:p w14:paraId="63624851">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w:t>
            </w:r>
          </w:p>
        </w:tc>
        <w:tc>
          <w:tcPr>
            <w:tcW w:w="6735" w:type="dxa"/>
            <w:vAlign w:val="center"/>
          </w:tcPr>
          <w:p w14:paraId="5C22378A">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中国教育学刊</w:t>
            </w:r>
          </w:p>
        </w:tc>
        <w:tc>
          <w:tcPr>
            <w:tcW w:w="1559" w:type="dxa"/>
            <w:vAlign w:val="center"/>
          </w:tcPr>
          <w:p w14:paraId="5FCECE5F">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1002-4808</w:t>
            </w:r>
          </w:p>
        </w:tc>
      </w:tr>
      <w:tr w14:paraId="0F66D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jc w:val="center"/>
        </w:trPr>
        <w:tc>
          <w:tcPr>
            <w:tcW w:w="839" w:type="dxa"/>
            <w:vAlign w:val="center"/>
          </w:tcPr>
          <w:p w14:paraId="3492553D">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2</w:t>
            </w:r>
          </w:p>
        </w:tc>
        <w:tc>
          <w:tcPr>
            <w:tcW w:w="6735" w:type="dxa"/>
            <w:vAlign w:val="center"/>
          </w:tcPr>
          <w:p w14:paraId="61782A40">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教育研究与实验</w:t>
            </w:r>
          </w:p>
        </w:tc>
        <w:tc>
          <w:tcPr>
            <w:tcW w:w="1559" w:type="dxa"/>
            <w:vAlign w:val="center"/>
          </w:tcPr>
          <w:p w14:paraId="138989C9">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1003-160X</w:t>
            </w:r>
          </w:p>
        </w:tc>
      </w:tr>
      <w:tr w14:paraId="1CD071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jc w:val="center"/>
        </w:trPr>
        <w:tc>
          <w:tcPr>
            <w:tcW w:w="839" w:type="dxa"/>
            <w:vAlign w:val="center"/>
          </w:tcPr>
          <w:p w14:paraId="51D5CD21">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3</w:t>
            </w:r>
          </w:p>
        </w:tc>
        <w:tc>
          <w:tcPr>
            <w:tcW w:w="6735" w:type="dxa"/>
            <w:vAlign w:val="center"/>
          </w:tcPr>
          <w:p w14:paraId="20D788BB">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全球教育展望</w:t>
            </w:r>
          </w:p>
        </w:tc>
        <w:tc>
          <w:tcPr>
            <w:tcW w:w="1559" w:type="dxa"/>
            <w:vAlign w:val="center"/>
          </w:tcPr>
          <w:p w14:paraId="13492D8E">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1009-9670</w:t>
            </w:r>
          </w:p>
        </w:tc>
      </w:tr>
      <w:tr w14:paraId="7843CF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jc w:val="center"/>
        </w:trPr>
        <w:tc>
          <w:tcPr>
            <w:tcW w:w="839" w:type="dxa"/>
            <w:vAlign w:val="center"/>
          </w:tcPr>
          <w:p w14:paraId="756CC046">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4</w:t>
            </w:r>
          </w:p>
        </w:tc>
        <w:tc>
          <w:tcPr>
            <w:tcW w:w="6735" w:type="dxa"/>
            <w:vAlign w:val="center"/>
          </w:tcPr>
          <w:p w14:paraId="385F668E">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中国特殊教育</w:t>
            </w:r>
          </w:p>
        </w:tc>
        <w:tc>
          <w:tcPr>
            <w:tcW w:w="1559" w:type="dxa"/>
            <w:vAlign w:val="center"/>
          </w:tcPr>
          <w:p w14:paraId="0F867179">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1007-3728</w:t>
            </w:r>
          </w:p>
        </w:tc>
      </w:tr>
      <w:tr w14:paraId="57A95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jc w:val="center"/>
        </w:trPr>
        <w:tc>
          <w:tcPr>
            <w:tcW w:w="839" w:type="dxa"/>
            <w:vAlign w:val="center"/>
          </w:tcPr>
          <w:p w14:paraId="404017F4">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5</w:t>
            </w:r>
          </w:p>
        </w:tc>
        <w:tc>
          <w:tcPr>
            <w:tcW w:w="6735" w:type="dxa"/>
            <w:vAlign w:val="center"/>
          </w:tcPr>
          <w:p w14:paraId="4126FDEE">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开放教育研究</w:t>
            </w:r>
          </w:p>
        </w:tc>
        <w:tc>
          <w:tcPr>
            <w:tcW w:w="1559" w:type="dxa"/>
            <w:vAlign w:val="center"/>
          </w:tcPr>
          <w:p w14:paraId="3BF92E36">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1007-2179</w:t>
            </w:r>
          </w:p>
        </w:tc>
      </w:tr>
      <w:tr w14:paraId="2F6737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jc w:val="center"/>
        </w:trPr>
        <w:tc>
          <w:tcPr>
            <w:tcW w:w="839" w:type="dxa"/>
            <w:vAlign w:val="center"/>
          </w:tcPr>
          <w:p w14:paraId="0638FCEC">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6</w:t>
            </w:r>
          </w:p>
        </w:tc>
        <w:tc>
          <w:tcPr>
            <w:tcW w:w="6735" w:type="dxa"/>
            <w:vAlign w:val="center"/>
          </w:tcPr>
          <w:p w14:paraId="7734364A">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中国远程教育</w:t>
            </w:r>
          </w:p>
        </w:tc>
        <w:tc>
          <w:tcPr>
            <w:tcW w:w="1559" w:type="dxa"/>
            <w:vAlign w:val="center"/>
          </w:tcPr>
          <w:p w14:paraId="56BD0C8D">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1009-458X</w:t>
            </w:r>
          </w:p>
        </w:tc>
      </w:tr>
      <w:tr w14:paraId="34BDB5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jc w:val="center"/>
        </w:trPr>
        <w:tc>
          <w:tcPr>
            <w:tcW w:w="839" w:type="dxa"/>
            <w:vAlign w:val="center"/>
          </w:tcPr>
          <w:p w14:paraId="7B4D69D4">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7</w:t>
            </w:r>
          </w:p>
        </w:tc>
        <w:tc>
          <w:tcPr>
            <w:tcW w:w="6735" w:type="dxa"/>
            <w:vAlign w:val="center"/>
          </w:tcPr>
          <w:p w14:paraId="35481D3D">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学前教育研究</w:t>
            </w:r>
          </w:p>
        </w:tc>
        <w:tc>
          <w:tcPr>
            <w:tcW w:w="1559" w:type="dxa"/>
            <w:vAlign w:val="center"/>
          </w:tcPr>
          <w:p w14:paraId="5341E68B">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1007-8169</w:t>
            </w:r>
          </w:p>
        </w:tc>
      </w:tr>
      <w:tr w14:paraId="5A803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jc w:val="center"/>
        </w:trPr>
        <w:tc>
          <w:tcPr>
            <w:tcW w:w="839" w:type="dxa"/>
            <w:vAlign w:val="center"/>
          </w:tcPr>
          <w:p w14:paraId="2DC236E4">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8</w:t>
            </w:r>
          </w:p>
        </w:tc>
        <w:tc>
          <w:tcPr>
            <w:tcW w:w="6735" w:type="dxa"/>
            <w:vAlign w:val="center"/>
          </w:tcPr>
          <w:p w14:paraId="7E4D8FAC">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教育史研究</w:t>
            </w:r>
          </w:p>
        </w:tc>
        <w:tc>
          <w:tcPr>
            <w:tcW w:w="1559" w:type="dxa"/>
            <w:vAlign w:val="center"/>
          </w:tcPr>
          <w:p w14:paraId="038AA42E">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2096-6660</w:t>
            </w:r>
          </w:p>
        </w:tc>
      </w:tr>
      <w:tr w14:paraId="2239BC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jc w:val="center"/>
        </w:trPr>
        <w:tc>
          <w:tcPr>
            <w:tcW w:w="839" w:type="dxa"/>
            <w:vAlign w:val="center"/>
          </w:tcPr>
          <w:p w14:paraId="34C21616">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9</w:t>
            </w:r>
          </w:p>
        </w:tc>
        <w:tc>
          <w:tcPr>
            <w:tcW w:w="6735" w:type="dxa"/>
            <w:vAlign w:val="center"/>
          </w:tcPr>
          <w:p w14:paraId="56BC47C9">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中国高教研究</w:t>
            </w:r>
          </w:p>
        </w:tc>
        <w:tc>
          <w:tcPr>
            <w:tcW w:w="1559" w:type="dxa"/>
            <w:vAlign w:val="center"/>
          </w:tcPr>
          <w:p w14:paraId="702A0E59">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1004-3667</w:t>
            </w:r>
          </w:p>
        </w:tc>
      </w:tr>
      <w:tr w14:paraId="599263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jc w:val="center"/>
        </w:trPr>
        <w:tc>
          <w:tcPr>
            <w:tcW w:w="839" w:type="dxa"/>
            <w:vAlign w:val="center"/>
          </w:tcPr>
          <w:p w14:paraId="228F402B">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10</w:t>
            </w:r>
          </w:p>
        </w:tc>
        <w:tc>
          <w:tcPr>
            <w:tcW w:w="6735" w:type="dxa"/>
            <w:vAlign w:val="center"/>
          </w:tcPr>
          <w:p w14:paraId="7395EF28">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高等工程教育研究</w:t>
            </w:r>
          </w:p>
        </w:tc>
        <w:tc>
          <w:tcPr>
            <w:tcW w:w="1559" w:type="dxa"/>
            <w:vAlign w:val="center"/>
          </w:tcPr>
          <w:p w14:paraId="74ADE250">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1001-4233</w:t>
            </w:r>
          </w:p>
        </w:tc>
      </w:tr>
      <w:tr w14:paraId="5F3CF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jc w:val="center"/>
        </w:trPr>
        <w:tc>
          <w:tcPr>
            <w:tcW w:w="839" w:type="dxa"/>
            <w:vAlign w:val="center"/>
          </w:tcPr>
          <w:p w14:paraId="74968DB3">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11</w:t>
            </w:r>
          </w:p>
        </w:tc>
        <w:tc>
          <w:tcPr>
            <w:tcW w:w="6735" w:type="dxa"/>
            <w:vAlign w:val="center"/>
          </w:tcPr>
          <w:p w14:paraId="074AFDB4">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教育与经济</w:t>
            </w:r>
          </w:p>
        </w:tc>
        <w:tc>
          <w:tcPr>
            <w:tcW w:w="1559" w:type="dxa"/>
            <w:vAlign w:val="center"/>
          </w:tcPr>
          <w:p w14:paraId="59E885DB">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1003-4870</w:t>
            </w:r>
          </w:p>
        </w:tc>
      </w:tr>
      <w:tr w14:paraId="02E33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jc w:val="center"/>
        </w:trPr>
        <w:tc>
          <w:tcPr>
            <w:tcW w:w="839" w:type="dxa"/>
            <w:vAlign w:val="center"/>
          </w:tcPr>
          <w:p w14:paraId="0DDACC47">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12</w:t>
            </w:r>
          </w:p>
        </w:tc>
        <w:tc>
          <w:tcPr>
            <w:tcW w:w="6735" w:type="dxa"/>
            <w:vAlign w:val="center"/>
          </w:tcPr>
          <w:p w14:paraId="2B3D3F48">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Thinking Skills and Creativity</w:t>
            </w:r>
          </w:p>
        </w:tc>
        <w:tc>
          <w:tcPr>
            <w:tcW w:w="1559" w:type="dxa"/>
            <w:vAlign w:val="center"/>
          </w:tcPr>
          <w:p w14:paraId="22850081">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1871-1871</w:t>
            </w:r>
          </w:p>
        </w:tc>
      </w:tr>
      <w:tr w14:paraId="15967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jc w:val="center"/>
        </w:trPr>
        <w:tc>
          <w:tcPr>
            <w:tcW w:w="839" w:type="dxa"/>
            <w:vAlign w:val="center"/>
          </w:tcPr>
          <w:p w14:paraId="3529979B">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13</w:t>
            </w:r>
          </w:p>
        </w:tc>
        <w:tc>
          <w:tcPr>
            <w:tcW w:w="6735" w:type="dxa"/>
            <w:vAlign w:val="center"/>
          </w:tcPr>
          <w:p w14:paraId="7E0E2EE8">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Journal of Educational Change</w:t>
            </w:r>
          </w:p>
        </w:tc>
        <w:tc>
          <w:tcPr>
            <w:tcW w:w="1559" w:type="dxa"/>
            <w:vAlign w:val="center"/>
          </w:tcPr>
          <w:p w14:paraId="7BF84A9F">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1389-2843</w:t>
            </w:r>
          </w:p>
        </w:tc>
      </w:tr>
      <w:tr w14:paraId="50E4E8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jc w:val="center"/>
        </w:trPr>
        <w:tc>
          <w:tcPr>
            <w:tcW w:w="839" w:type="dxa"/>
            <w:vAlign w:val="center"/>
          </w:tcPr>
          <w:p w14:paraId="7A457623">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14</w:t>
            </w:r>
          </w:p>
        </w:tc>
        <w:tc>
          <w:tcPr>
            <w:tcW w:w="6735" w:type="dxa"/>
            <w:vAlign w:val="center"/>
          </w:tcPr>
          <w:p w14:paraId="22E5368E">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Journal of Teacher Education</w:t>
            </w:r>
          </w:p>
        </w:tc>
        <w:tc>
          <w:tcPr>
            <w:tcW w:w="1559" w:type="dxa"/>
            <w:vAlign w:val="center"/>
          </w:tcPr>
          <w:p w14:paraId="7FE5E6E4">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0022-4871</w:t>
            </w:r>
          </w:p>
        </w:tc>
      </w:tr>
      <w:tr w14:paraId="518011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jc w:val="center"/>
        </w:trPr>
        <w:tc>
          <w:tcPr>
            <w:tcW w:w="839" w:type="dxa"/>
            <w:vAlign w:val="center"/>
          </w:tcPr>
          <w:p w14:paraId="163BA854">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15</w:t>
            </w:r>
          </w:p>
        </w:tc>
        <w:tc>
          <w:tcPr>
            <w:tcW w:w="6735" w:type="dxa"/>
            <w:vAlign w:val="center"/>
          </w:tcPr>
          <w:p w14:paraId="0AA08929">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Teacher Education and Special Education</w:t>
            </w:r>
          </w:p>
        </w:tc>
        <w:tc>
          <w:tcPr>
            <w:tcW w:w="1559" w:type="dxa"/>
            <w:vAlign w:val="center"/>
          </w:tcPr>
          <w:p w14:paraId="4976186D">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0888-4064</w:t>
            </w:r>
          </w:p>
        </w:tc>
      </w:tr>
      <w:tr w14:paraId="4FFAF4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jc w:val="center"/>
        </w:trPr>
        <w:tc>
          <w:tcPr>
            <w:tcW w:w="839" w:type="dxa"/>
            <w:vAlign w:val="center"/>
          </w:tcPr>
          <w:p w14:paraId="2EA90813">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16</w:t>
            </w:r>
          </w:p>
        </w:tc>
        <w:tc>
          <w:tcPr>
            <w:tcW w:w="6735" w:type="dxa"/>
            <w:vAlign w:val="center"/>
          </w:tcPr>
          <w:p w14:paraId="1DD408BA">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European Journal of Teacher Education</w:t>
            </w:r>
          </w:p>
        </w:tc>
        <w:tc>
          <w:tcPr>
            <w:tcW w:w="1559" w:type="dxa"/>
            <w:vAlign w:val="center"/>
          </w:tcPr>
          <w:p w14:paraId="4887334E">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0261-9768</w:t>
            </w:r>
          </w:p>
        </w:tc>
      </w:tr>
      <w:tr w14:paraId="590385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jc w:val="center"/>
        </w:trPr>
        <w:tc>
          <w:tcPr>
            <w:tcW w:w="839" w:type="dxa"/>
            <w:vAlign w:val="center"/>
          </w:tcPr>
          <w:p w14:paraId="5B4D78AE">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17</w:t>
            </w:r>
          </w:p>
        </w:tc>
        <w:tc>
          <w:tcPr>
            <w:tcW w:w="6735" w:type="dxa"/>
            <w:vAlign w:val="center"/>
          </w:tcPr>
          <w:p w14:paraId="0FFA8DB3">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Teachers and Teaching</w:t>
            </w:r>
          </w:p>
        </w:tc>
        <w:tc>
          <w:tcPr>
            <w:tcW w:w="1559" w:type="dxa"/>
            <w:vAlign w:val="center"/>
          </w:tcPr>
          <w:p w14:paraId="6BC24221">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1354-0602</w:t>
            </w:r>
          </w:p>
        </w:tc>
      </w:tr>
      <w:tr w14:paraId="62B3F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jc w:val="center"/>
        </w:trPr>
        <w:tc>
          <w:tcPr>
            <w:tcW w:w="839" w:type="dxa"/>
            <w:vAlign w:val="center"/>
          </w:tcPr>
          <w:p w14:paraId="55BC6875">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18</w:t>
            </w:r>
          </w:p>
        </w:tc>
        <w:tc>
          <w:tcPr>
            <w:tcW w:w="6735" w:type="dxa"/>
            <w:vAlign w:val="center"/>
          </w:tcPr>
          <w:p w14:paraId="7DBADDD2">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Education and Information Technologies</w:t>
            </w:r>
          </w:p>
        </w:tc>
        <w:tc>
          <w:tcPr>
            <w:tcW w:w="1559" w:type="dxa"/>
            <w:vAlign w:val="center"/>
          </w:tcPr>
          <w:p w14:paraId="3F1E213E">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1360-2357</w:t>
            </w:r>
          </w:p>
        </w:tc>
      </w:tr>
      <w:tr w14:paraId="495530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jc w:val="center"/>
        </w:trPr>
        <w:tc>
          <w:tcPr>
            <w:tcW w:w="839" w:type="dxa"/>
            <w:vAlign w:val="center"/>
          </w:tcPr>
          <w:p w14:paraId="1D5E885F">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19</w:t>
            </w:r>
          </w:p>
        </w:tc>
        <w:tc>
          <w:tcPr>
            <w:tcW w:w="6735" w:type="dxa"/>
            <w:vAlign w:val="center"/>
          </w:tcPr>
          <w:p w14:paraId="1DE3F916">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Journal of Education Policy</w:t>
            </w:r>
          </w:p>
        </w:tc>
        <w:tc>
          <w:tcPr>
            <w:tcW w:w="1559" w:type="dxa"/>
            <w:vAlign w:val="center"/>
          </w:tcPr>
          <w:p w14:paraId="07726321">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0268-0939</w:t>
            </w:r>
          </w:p>
        </w:tc>
      </w:tr>
      <w:tr w14:paraId="65DCA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jc w:val="center"/>
        </w:trPr>
        <w:tc>
          <w:tcPr>
            <w:tcW w:w="839" w:type="dxa"/>
            <w:vAlign w:val="center"/>
          </w:tcPr>
          <w:p w14:paraId="59070EA9">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20</w:t>
            </w:r>
          </w:p>
        </w:tc>
        <w:tc>
          <w:tcPr>
            <w:tcW w:w="6735" w:type="dxa"/>
            <w:vAlign w:val="center"/>
          </w:tcPr>
          <w:p w14:paraId="61863C46">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Studies in Higher Education</w:t>
            </w:r>
          </w:p>
        </w:tc>
        <w:tc>
          <w:tcPr>
            <w:tcW w:w="1559" w:type="dxa"/>
            <w:vAlign w:val="center"/>
          </w:tcPr>
          <w:p w14:paraId="528392F4">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0307-5079</w:t>
            </w:r>
          </w:p>
        </w:tc>
      </w:tr>
      <w:tr w14:paraId="1838D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jc w:val="center"/>
        </w:trPr>
        <w:tc>
          <w:tcPr>
            <w:tcW w:w="839" w:type="dxa"/>
            <w:vAlign w:val="center"/>
          </w:tcPr>
          <w:p w14:paraId="4455D28B">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21</w:t>
            </w:r>
          </w:p>
        </w:tc>
        <w:tc>
          <w:tcPr>
            <w:tcW w:w="6735" w:type="dxa"/>
            <w:vAlign w:val="center"/>
          </w:tcPr>
          <w:p w14:paraId="60DB49F3">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Educational Management Administration &amp; Leadership</w:t>
            </w:r>
          </w:p>
        </w:tc>
        <w:tc>
          <w:tcPr>
            <w:tcW w:w="1559" w:type="dxa"/>
            <w:vAlign w:val="center"/>
          </w:tcPr>
          <w:p w14:paraId="50EAB987">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1741-1432</w:t>
            </w:r>
          </w:p>
        </w:tc>
      </w:tr>
      <w:tr w14:paraId="64C55F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jc w:val="center"/>
        </w:trPr>
        <w:tc>
          <w:tcPr>
            <w:tcW w:w="839" w:type="dxa"/>
            <w:vAlign w:val="center"/>
          </w:tcPr>
          <w:p w14:paraId="39630556">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22</w:t>
            </w:r>
          </w:p>
        </w:tc>
        <w:tc>
          <w:tcPr>
            <w:tcW w:w="6735" w:type="dxa"/>
            <w:vAlign w:val="center"/>
          </w:tcPr>
          <w:p w14:paraId="5346CC24">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Assessment &amp; Evaluation in Higher Education</w:t>
            </w:r>
          </w:p>
        </w:tc>
        <w:tc>
          <w:tcPr>
            <w:tcW w:w="1559" w:type="dxa"/>
            <w:vAlign w:val="center"/>
          </w:tcPr>
          <w:p w14:paraId="1D9CDF67">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0260-2938</w:t>
            </w:r>
          </w:p>
        </w:tc>
      </w:tr>
      <w:tr w14:paraId="4B154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jc w:val="center"/>
        </w:trPr>
        <w:tc>
          <w:tcPr>
            <w:tcW w:w="839" w:type="dxa"/>
            <w:vAlign w:val="center"/>
          </w:tcPr>
          <w:p w14:paraId="5EE1031F">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23</w:t>
            </w:r>
          </w:p>
        </w:tc>
        <w:tc>
          <w:tcPr>
            <w:tcW w:w="6735" w:type="dxa"/>
            <w:vAlign w:val="center"/>
          </w:tcPr>
          <w:p w14:paraId="4F4A8B17">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Journal of the Learning Sciences</w:t>
            </w:r>
          </w:p>
        </w:tc>
        <w:tc>
          <w:tcPr>
            <w:tcW w:w="1559" w:type="dxa"/>
            <w:vAlign w:val="center"/>
          </w:tcPr>
          <w:p w14:paraId="0854E7A5">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1050-8406</w:t>
            </w:r>
          </w:p>
        </w:tc>
      </w:tr>
      <w:tr w14:paraId="493FF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jc w:val="center"/>
        </w:trPr>
        <w:tc>
          <w:tcPr>
            <w:tcW w:w="839" w:type="dxa"/>
            <w:vAlign w:val="center"/>
          </w:tcPr>
          <w:p w14:paraId="0B787AF3">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24</w:t>
            </w:r>
          </w:p>
        </w:tc>
        <w:tc>
          <w:tcPr>
            <w:tcW w:w="6735" w:type="dxa"/>
            <w:vAlign w:val="center"/>
          </w:tcPr>
          <w:p w14:paraId="438EF1F4">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Journal of Computer Assisted Learning</w:t>
            </w:r>
          </w:p>
        </w:tc>
        <w:tc>
          <w:tcPr>
            <w:tcW w:w="1559" w:type="dxa"/>
            <w:vAlign w:val="center"/>
          </w:tcPr>
          <w:p w14:paraId="5AE2F392">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0266-4909</w:t>
            </w:r>
          </w:p>
        </w:tc>
      </w:tr>
    </w:tbl>
    <w:p w14:paraId="1867D1AA">
      <w:pPr>
        <w:spacing w:before="128" w:line="389" w:lineRule="exact"/>
        <w:ind w:left="2558"/>
        <w:outlineLvl w:val="0"/>
        <w:rPr>
          <w:rFonts w:ascii="宋体" w:hAnsi="宋体" w:eastAsia="宋体" w:cs="宋体"/>
          <w:b/>
          <w:bCs/>
          <w:spacing w:val="6"/>
          <w:position w:val="2"/>
          <w:sz w:val="28"/>
          <w:szCs w:val="28"/>
          <w:highlight w:val="none"/>
        </w:rPr>
      </w:pPr>
    </w:p>
    <w:p w14:paraId="6DC05812">
      <w:pPr>
        <w:spacing w:before="128" w:line="389" w:lineRule="exact"/>
        <w:ind w:left="2560"/>
        <w:outlineLvl w:val="0"/>
        <w:rPr>
          <w:rFonts w:hint="eastAsia" w:ascii="黑体" w:hAnsi="黑体" w:eastAsia="黑体" w:cs="黑体"/>
          <w:b/>
          <w:bCs/>
          <w:spacing w:val="6"/>
          <w:position w:val="2"/>
          <w:sz w:val="30"/>
          <w:szCs w:val="30"/>
          <w:highlight w:val="none"/>
        </w:rPr>
      </w:pPr>
      <w:r>
        <w:rPr>
          <w:rFonts w:hint="eastAsia" w:ascii="黑体" w:hAnsi="黑体" w:eastAsia="黑体" w:cs="黑体"/>
          <w:b/>
          <w:bCs/>
          <w:spacing w:val="6"/>
          <w:position w:val="2"/>
          <w:sz w:val="30"/>
          <w:szCs w:val="30"/>
          <w:highlight w:val="none"/>
        </w:rPr>
        <w:t>心理学学科代表性期刊推荐目录</w:t>
      </w:r>
    </w:p>
    <w:tbl>
      <w:tblPr>
        <w:tblStyle w:val="11"/>
        <w:tblW w:w="913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39"/>
        <w:gridCol w:w="6735"/>
        <w:gridCol w:w="1559"/>
      </w:tblGrid>
      <w:tr w14:paraId="50C678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61F1CA53">
            <w:pPr>
              <w:spacing w:before="125" w:line="226" w:lineRule="auto"/>
              <w:ind w:left="74"/>
              <w:jc w:val="center"/>
              <w:rPr>
                <w:rFonts w:hint="eastAsia" w:ascii="宋体" w:hAnsi="宋体" w:eastAsia="宋体" w:cs="宋体"/>
                <w:sz w:val="24"/>
                <w:szCs w:val="24"/>
                <w:highlight w:val="none"/>
              </w:rPr>
            </w:pPr>
            <w:r>
              <w:rPr>
                <w:rFonts w:hint="eastAsia" w:ascii="宋体" w:hAnsi="宋体" w:eastAsia="宋体" w:cs="宋体"/>
                <w:b/>
                <w:bCs/>
                <w:sz w:val="24"/>
                <w:szCs w:val="24"/>
                <w:highlight w:val="none"/>
              </w:rPr>
              <w:t>序号</w:t>
            </w:r>
          </w:p>
        </w:tc>
        <w:tc>
          <w:tcPr>
            <w:tcW w:w="6735" w:type="dxa"/>
            <w:vAlign w:val="center"/>
          </w:tcPr>
          <w:p w14:paraId="6EBA3527">
            <w:pPr>
              <w:spacing w:before="126" w:line="225" w:lineRule="auto"/>
              <w:ind w:left="3076"/>
              <w:jc w:val="both"/>
              <w:rPr>
                <w:rFonts w:hint="eastAsia" w:ascii="宋体" w:hAnsi="宋体" w:eastAsia="宋体" w:cs="宋体"/>
                <w:sz w:val="24"/>
                <w:szCs w:val="24"/>
                <w:highlight w:val="none"/>
              </w:rPr>
            </w:pPr>
            <w:r>
              <w:rPr>
                <w:rFonts w:hint="eastAsia" w:ascii="宋体" w:hAnsi="宋体" w:eastAsia="宋体" w:cs="宋体"/>
                <w:b/>
                <w:bCs/>
                <w:spacing w:val="2"/>
                <w:sz w:val="24"/>
                <w:szCs w:val="24"/>
                <w:highlight w:val="none"/>
              </w:rPr>
              <w:t>期刊名称</w:t>
            </w:r>
          </w:p>
        </w:tc>
        <w:tc>
          <w:tcPr>
            <w:tcW w:w="1559" w:type="dxa"/>
            <w:vAlign w:val="center"/>
          </w:tcPr>
          <w:p w14:paraId="4AE119A8">
            <w:pPr>
              <w:pStyle w:val="12"/>
              <w:spacing w:before="114" w:line="228" w:lineRule="auto"/>
              <w:ind w:left="433"/>
              <w:jc w:val="both"/>
              <w:rPr>
                <w:rFonts w:hint="eastAsia" w:ascii="宋体" w:hAnsi="宋体" w:eastAsia="宋体" w:cs="宋体"/>
                <w:sz w:val="24"/>
                <w:szCs w:val="24"/>
                <w:highlight w:val="none"/>
              </w:rPr>
            </w:pPr>
            <w:r>
              <w:rPr>
                <w:rFonts w:hint="eastAsia" w:ascii="宋体" w:hAnsi="宋体" w:eastAsia="宋体" w:cs="宋体"/>
                <w:b/>
                <w:bCs/>
                <w:sz w:val="24"/>
                <w:szCs w:val="24"/>
                <w:highlight w:val="none"/>
              </w:rPr>
              <w:t>ISSN</w:t>
            </w:r>
            <w:r>
              <w:rPr>
                <w:rFonts w:hint="eastAsia" w:ascii="宋体" w:hAnsi="宋体" w:eastAsia="宋体" w:cs="宋体"/>
                <w:b/>
                <w:bCs/>
                <w:spacing w:val="14"/>
                <w:sz w:val="24"/>
                <w:szCs w:val="24"/>
                <w:highlight w:val="none"/>
              </w:rPr>
              <w:t>号</w:t>
            </w:r>
          </w:p>
        </w:tc>
      </w:tr>
      <w:tr w14:paraId="14BB1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trPr>
        <w:tc>
          <w:tcPr>
            <w:tcW w:w="9133" w:type="dxa"/>
            <w:gridSpan w:val="3"/>
            <w:vAlign w:val="center"/>
          </w:tcPr>
          <w:p w14:paraId="4AB595D3">
            <w:pPr>
              <w:spacing w:before="118" w:line="226" w:lineRule="auto"/>
              <w:ind w:left="43" w:leftChars="0"/>
              <w:jc w:val="center"/>
              <w:rPr>
                <w:rFonts w:hint="eastAsia" w:ascii="宋体" w:hAnsi="宋体" w:eastAsia="宋体" w:cs="宋体"/>
                <w:sz w:val="24"/>
                <w:szCs w:val="24"/>
                <w:highlight w:val="none"/>
              </w:rPr>
            </w:pPr>
            <w:r>
              <w:rPr>
                <w:rFonts w:hint="eastAsia" w:ascii="黑体" w:hAnsi="黑体" w:eastAsia="黑体" w:cs="黑体"/>
                <w:b/>
                <w:bCs/>
                <w:spacing w:val="3"/>
                <w:sz w:val="24"/>
                <w:szCs w:val="24"/>
                <w:highlight w:val="none"/>
              </w:rPr>
              <w:t>一、顶尖B层次</w:t>
            </w:r>
          </w:p>
        </w:tc>
      </w:tr>
      <w:tr w14:paraId="209171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3" w:hRule="atLeast"/>
        </w:trPr>
        <w:tc>
          <w:tcPr>
            <w:tcW w:w="839" w:type="dxa"/>
            <w:vAlign w:val="center"/>
          </w:tcPr>
          <w:p w14:paraId="63E38925">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w:t>
            </w:r>
          </w:p>
        </w:tc>
        <w:tc>
          <w:tcPr>
            <w:tcW w:w="6735" w:type="dxa"/>
            <w:vAlign w:val="center"/>
          </w:tcPr>
          <w:p w14:paraId="29A09A3C">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Trends in Cognitive Sciences</w:t>
            </w:r>
          </w:p>
        </w:tc>
        <w:tc>
          <w:tcPr>
            <w:tcW w:w="1559" w:type="dxa"/>
            <w:vAlign w:val="center"/>
          </w:tcPr>
          <w:p w14:paraId="12654253">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1364-6613</w:t>
            </w:r>
          </w:p>
        </w:tc>
      </w:tr>
      <w:tr w14:paraId="578AE8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3" w:hRule="atLeast"/>
        </w:trPr>
        <w:tc>
          <w:tcPr>
            <w:tcW w:w="839" w:type="dxa"/>
            <w:vAlign w:val="center"/>
          </w:tcPr>
          <w:p w14:paraId="1DB2BC7B">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2</w:t>
            </w:r>
          </w:p>
        </w:tc>
        <w:tc>
          <w:tcPr>
            <w:tcW w:w="6735" w:type="dxa"/>
            <w:vAlign w:val="center"/>
          </w:tcPr>
          <w:p w14:paraId="7485D817">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Neuron</w:t>
            </w:r>
          </w:p>
        </w:tc>
        <w:tc>
          <w:tcPr>
            <w:tcW w:w="1559" w:type="dxa"/>
            <w:vAlign w:val="center"/>
          </w:tcPr>
          <w:p w14:paraId="5281A3D5">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0896-6273</w:t>
            </w:r>
          </w:p>
        </w:tc>
      </w:tr>
      <w:tr w14:paraId="4C01B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trPr>
        <w:tc>
          <w:tcPr>
            <w:tcW w:w="839" w:type="dxa"/>
            <w:vAlign w:val="center"/>
          </w:tcPr>
          <w:p w14:paraId="5A848CB7">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3</w:t>
            </w:r>
          </w:p>
        </w:tc>
        <w:tc>
          <w:tcPr>
            <w:tcW w:w="6735" w:type="dxa"/>
            <w:vAlign w:val="center"/>
          </w:tcPr>
          <w:p w14:paraId="1430B1F5">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Trends in Neurosciences</w:t>
            </w:r>
          </w:p>
        </w:tc>
        <w:tc>
          <w:tcPr>
            <w:tcW w:w="1559" w:type="dxa"/>
            <w:vAlign w:val="center"/>
          </w:tcPr>
          <w:p w14:paraId="68F0F109">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0166-2236</w:t>
            </w:r>
          </w:p>
        </w:tc>
      </w:tr>
      <w:tr w14:paraId="12F18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3" w:hRule="atLeast"/>
        </w:trPr>
        <w:tc>
          <w:tcPr>
            <w:tcW w:w="839" w:type="dxa"/>
            <w:vAlign w:val="center"/>
          </w:tcPr>
          <w:p w14:paraId="124134BC">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4</w:t>
            </w:r>
          </w:p>
        </w:tc>
        <w:tc>
          <w:tcPr>
            <w:tcW w:w="6735" w:type="dxa"/>
            <w:vAlign w:val="center"/>
          </w:tcPr>
          <w:p w14:paraId="6030DE0A">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Brain</w:t>
            </w:r>
          </w:p>
        </w:tc>
        <w:tc>
          <w:tcPr>
            <w:tcW w:w="1559" w:type="dxa"/>
            <w:vAlign w:val="center"/>
          </w:tcPr>
          <w:p w14:paraId="496080AB">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0006-8950</w:t>
            </w:r>
          </w:p>
        </w:tc>
      </w:tr>
      <w:tr w14:paraId="3E24BB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trPr>
        <w:tc>
          <w:tcPr>
            <w:tcW w:w="839" w:type="dxa"/>
            <w:vAlign w:val="center"/>
          </w:tcPr>
          <w:p w14:paraId="2A37E12F">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5</w:t>
            </w:r>
          </w:p>
        </w:tc>
        <w:tc>
          <w:tcPr>
            <w:tcW w:w="6735" w:type="dxa"/>
            <w:vAlign w:val="center"/>
          </w:tcPr>
          <w:p w14:paraId="51C318C6">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PNAS</w:t>
            </w:r>
          </w:p>
        </w:tc>
        <w:tc>
          <w:tcPr>
            <w:tcW w:w="1559" w:type="dxa"/>
            <w:vAlign w:val="center"/>
          </w:tcPr>
          <w:p w14:paraId="59138CD9">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0027-8424</w:t>
            </w:r>
          </w:p>
        </w:tc>
      </w:tr>
      <w:tr w14:paraId="539F4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3" w:hRule="atLeast"/>
        </w:trPr>
        <w:tc>
          <w:tcPr>
            <w:tcW w:w="839" w:type="dxa"/>
            <w:vAlign w:val="center"/>
          </w:tcPr>
          <w:p w14:paraId="0B0650F5">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6</w:t>
            </w:r>
          </w:p>
        </w:tc>
        <w:tc>
          <w:tcPr>
            <w:tcW w:w="6735" w:type="dxa"/>
            <w:vAlign w:val="center"/>
          </w:tcPr>
          <w:p w14:paraId="0C8651E8">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Annals of Neurology</w:t>
            </w:r>
          </w:p>
        </w:tc>
        <w:tc>
          <w:tcPr>
            <w:tcW w:w="1559" w:type="dxa"/>
            <w:vAlign w:val="center"/>
          </w:tcPr>
          <w:p w14:paraId="72736EC8">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0364-5134</w:t>
            </w:r>
          </w:p>
        </w:tc>
      </w:tr>
      <w:tr w14:paraId="559C93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trPr>
        <w:tc>
          <w:tcPr>
            <w:tcW w:w="839" w:type="dxa"/>
            <w:vAlign w:val="center"/>
          </w:tcPr>
          <w:p w14:paraId="628F7683">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7</w:t>
            </w:r>
          </w:p>
        </w:tc>
        <w:tc>
          <w:tcPr>
            <w:tcW w:w="6735" w:type="dxa"/>
            <w:vAlign w:val="center"/>
          </w:tcPr>
          <w:p w14:paraId="521F2DE4">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Current Biology</w:t>
            </w:r>
          </w:p>
        </w:tc>
        <w:tc>
          <w:tcPr>
            <w:tcW w:w="1559" w:type="dxa"/>
            <w:vAlign w:val="center"/>
          </w:tcPr>
          <w:p w14:paraId="01078382">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0960-9822</w:t>
            </w:r>
          </w:p>
        </w:tc>
      </w:tr>
      <w:tr w14:paraId="17BB0C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3" w:hRule="atLeast"/>
        </w:trPr>
        <w:tc>
          <w:tcPr>
            <w:tcW w:w="839" w:type="dxa"/>
            <w:vAlign w:val="center"/>
          </w:tcPr>
          <w:p w14:paraId="594EC8B6">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8</w:t>
            </w:r>
          </w:p>
        </w:tc>
        <w:tc>
          <w:tcPr>
            <w:tcW w:w="6735" w:type="dxa"/>
            <w:vAlign w:val="center"/>
          </w:tcPr>
          <w:p w14:paraId="773B6E0F">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PLoS Biology</w:t>
            </w:r>
          </w:p>
        </w:tc>
        <w:tc>
          <w:tcPr>
            <w:tcW w:w="1559" w:type="dxa"/>
            <w:vAlign w:val="center"/>
          </w:tcPr>
          <w:p w14:paraId="679ADC8C">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1544-9173</w:t>
            </w:r>
          </w:p>
        </w:tc>
      </w:tr>
      <w:tr w14:paraId="0C461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3" w:hRule="atLeast"/>
        </w:trPr>
        <w:tc>
          <w:tcPr>
            <w:tcW w:w="839" w:type="dxa"/>
            <w:vAlign w:val="center"/>
          </w:tcPr>
          <w:p w14:paraId="210167CD">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9</w:t>
            </w:r>
          </w:p>
        </w:tc>
        <w:tc>
          <w:tcPr>
            <w:tcW w:w="6735" w:type="dxa"/>
            <w:vAlign w:val="center"/>
          </w:tcPr>
          <w:p w14:paraId="6EBF3FC2">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American Psychologist</w:t>
            </w:r>
          </w:p>
        </w:tc>
        <w:tc>
          <w:tcPr>
            <w:tcW w:w="1559" w:type="dxa"/>
            <w:vAlign w:val="center"/>
          </w:tcPr>
          <w:p w14:paraId="1E523E1E">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0003-066X</w:t>
            </w:r>
          </w:p>
        </w:tc>
      </w:tr>
      <w:tr w14:paraId="0D62B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3" w:hRule="atLeast"/>
        </w:trPr>
        <w:tc>
          <w:tcPr>
            <w:tcW w:w="839" w:type="dxa"/>
            <w:vAlign w:val="center"/>
          </w:tcPr>
          <w:p w14:paraId="615CDFD0">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10</w:t>
            </w:r>
          </w:p>
        </w:tc>
        <w:tc>
          <w:tcPr>
            <w:tcW w:w="6735" w:type="dxa"/>
            <w:vAlign w:val="center"/>
          </w:tcPr>
          <w:p w14:paraId="152AC620">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Psychological Bulletin</w:t>
            </w:r>
          </w:p>
        </w:tc>
        <w:tc>
          <w:tcPr>
            <w:tcW w:w="1559" w:type="dxa"/>
            <w:vAlign w:val="center"/>
          </w:tcPr>
          <w:p w14:paraId="42D3580D">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0033-2909</w:t>
            </w:r>
          </w:p>
        </w:tc>
      </w:tr>
      <w:tr w14:paraId="257C21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trPr>
        <w:tc>
          <w:tcPr>
            <w:tcW w:w="839" w:type="dxa"/>
            <w:vAlign w:val="center"/>
          </w:tcPr>
          <w:p w14:paraId="47518144">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11</w:t>
            </w:r>
          </w:p>
        </w:tc>
        <w:tc>
          <w:tcPr>
            <w:tcW w:w="6735" w:type="dxa"/>
            <w:vAlign w:val="center"/>
          </w:tcPr>
          <w:p w14:paraId="4605E4F4">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Psychological Review</w:t>
            </w:r>
          </w:p>
        </w:tc>
        <w:tc>
          <w:tcPr>
            <w:tcW w:w="1559" w:type="dxa"/>
            <w:vAlign w:val="center"/>
          </w:tcPr>
          <w:p w14:paraId="653ABCA6">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0033-295X</w:t>
            </w:r>
          </w:p>
        </w:tc>
      </w:tr>
      <w:tr w14:paraId="4EF48D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3" w:hRule="atLeast"/>
        </w:trPr>
        <w:tc>
          <w:tcPr>
            <w:tcW w:w="839" w:type="dxa"/>
            <w:vAlign w:val="center"/>
          </w:tcPr>
          <w:p w14:paraId="1D42B932">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12</w:t>
            </w:r>
          </w:p>
        </w:tc>
        <w:tc>
          <w:tcPr>
            <w:tcW w:w="6735" w:type="dxa"/>
            <w:vAlign w:val="center"/>
          </w:tcPr>
          <w:p w14:paraId="04C49B85">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Psychological Science</w:t>
            </w:r>
          </w:p>
        </w:tc>
        <w:tc>
          <w:tcPr>
            <w:tcW w:w="1559" w:type="dxa"/>
            <w:vAlign w:val="center"/>
          </w:tcPr>
          <w:p w14:paraId="084FB21A">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0956-7976</w:t>
            </w:r>
          </w:p>
        </w:tc>
      </w:tr>
      <w:tr w14:paraId="59E58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3" w:hRule="atLeast"/>
        </w:trPr>
        <w:tc>
          <w:tcPr>
            <w:tcW w:w="839" w:type="dxa"/>
            <w:vAlign w:val="center"/>
          </w:tcPr>
          <w:p w14:paraId="14029312">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13</w:t>
            </w:r>
          </w:p>
        </w:tc>
        <w:tc>
          <w:tcPr>
            <w:tcW w:w="6735" w:type="dxa"/>
            <w:vAlign w:val="center"/>
          </w:tcPr>
          <w:p w14:paraId="617857D9">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Psychological Methods</w:t>
            </w:r>
          </w:p>
        </w:tc>
        <w:tc>
          <w:tcPr>
            <w:tcW w:w="1559" w:type="dxa"/>
            <w:vAlign w:val="center"/>
          </w:tcPr>
          <w:p w14:paraId="0FE7B21A">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1082-989X</w:t>
            </w:r>
          </w:p>
        </w:tc>
      </w:tr>
      <w:tr w14:paraId="1514A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3" w:hRule="atLeast"/>
        </w:trPr>
        <w:tc>
          <w:tcPr>
            <w:tcW w:w="839" w:type="dxa"/>
            <w:vAlign w:val="center"/>
          </w:tcPr>
          <w:p w14:paraId="259FD9A4">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14</w:t>
            </w:r>
          </w:p>
        </w:tc>
        <w:tc>
          <w:tcPr>
            <w:tcW w:w="6735" w:type="dxa"/>
            <w:vAlign w:val="center"/>
          </w:tcPr>
          <w:p w14:paraId="41C4DC65">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Child Development</w:t>
            </w:r>
          </w:p>
        </w:tc>
        <w:tc>
          <w:tcPr>
            <w:tcW w:w="1559" w:type="dxa"/>
            <w:vAlign w:val="center"/>
          </w:tcPr>
          <w:p w14:paraId="4EE4AC81">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0009-3920</w:t>
            </w:r>
          </w:p>
        </w:tc>
      </w:tr>
      <w:tr w14:paraId="2951F8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3" w:hRule="atLeast"/>
        </w:trPr>
        <w:tc>
          <w:tcPr>
            <w:tcW w:w="839" w:type="dxa"/>
            <w:vAlign w:val="center"/>
          </w:tcPr>
          <w:p w14:paraId="7B08C1A9">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15</w:t>
            </w:r>
          </w:p>
        </w:tc>
        <w:tc>
          <w:tcPr>
            <w:tcW w:w="6735" w:type="dxa"/>
            <w:vAlign w:val="center"/>
          </w:tcPr>
          <w:p w14:paraId="6CFCDE36">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Journal of Educational Psychology</w:t>
            </w:r>
          </w:p>
        </w:tc>
        <w:tc>
          <w:tcPr>
            <w:tcW w:w="1559" w:type="dxa"/>
            <w:vAlign w:val="center"/>
          </w:tcPr>
          <w:p w14:paraId="02F9B027">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0022-0663</w:t>
            </w:r>
          </w:p>
        </w:tc>
      </w:tr>
      <w:tr w14:paraId="4DB589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3" w:hRule="atLeast"/>
        </w:trPr>
        <w:tc>
          <w:tcPr>
            <w:tcW w:w="839" w:type="dxa"/>
            <w:vAlign w:val="center"/>
          </w:tcPr>
          <w:p w14:paraId="68A87E2A">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16</w:t>
            </w:r>
          </w:p>
        </w:tc>
        <w:tc>
          <w:tcPr>
            <w:tcW w:w="6735" w:type="dxa"/>
            <w:vAlign w:val="center"/>
          </w:tcPr>
          <w:p w14:paraId="2293E778">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Journal of Experimental Psychology-General</w:t>
            </w:r>
          </w:p>
        </w:tc>
        <w:tc>
          <w:tcPr>
            <w:tcW w:w="1559" w:type="dxa"/>
            <w:vAlign w:val="center"/>
          </w:tcPr>
          <w:p w14:paraId="34913B05">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0096-3445</w:t>
            </w:r>
          </w:p>
        </w:tc>
      </w:tr>
      <w:tr w14:paraId="6DFB5C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3" w:hRule="atLeast"/>
        </w:trPr>
        <w:tc>
          <w:tcPr>
            <w:tcW w:w="839" w:type="dxa"/>
            <w:vAlign w:val="center"/>
          </w:tcPr>
          <w:p w14:paraId="2FBE1F58">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17</w:t>
            </w:r>
          </w:p>
        </w:tc>
        <w:tc>
          <w:tcPr>
            <w:tcW w:w="6735" w:type="dxa"/>
            <w:vAlign w:val="center"/>
          </w:tcPr>
          <w:p w14:paraId="53093982">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Journal of Personality and Social Psychology</w:t>
            </w:r>
          </w:p>
        </w:tc>
        <w:tc>
          <w:tcPr>
            <w:tcW w:w="1559" w:type="dxa"/>
            <w:vAlign w:val="center"/>
          </w:tcPr>
          <w:p w14:paraId="2022836D">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0022-3514</w:t>
            </w:r>
          </w:p>
        </w:tc>
      </w:tr>
      <w:tr w14:paraId="67506B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3" w:hRule="atLeast"/>
        </w:trPr>
        <w:tc>
          <w:tcPr>
            <w:tcW w:w="839" w:type="dxa"/>
            <w:vAlign w:val="center"/>
          </w:tcPr>
          <w:p w14:paraId="26C341F0">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18</w:t>
            </w:r>
          </w:p>
        </w:tc>
        <w:tc>
          <w:tcPr>
            <w:tcW w:w="6735" w:type="dxa"/>
            <w:vAlign w:val="center"/>
          </w:tcPr>
          <w:p w14:paraId="5B00E012">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Journal of Memory and Language</w:t>
            </w:r>
          </w:p>
        </w:tc>
        <w:tc>
          <w:tcPr>
            <w:tcW w:w="1559" w:type="dxa"/>
            <w:vAlign w:val="center"/>
          </w:tcPr>
          <w:p w14:paraId="342981B5">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0749-596X</w:t>
            </w:r>
          </w:p>
        </w:tc>
      </w:tr>
      <w:tr w14:paraId="48B9ED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trPr>
        <w:tc>
          <w:tcPr>
            <w:tcW w:w="839" w:type="dxa"/>
            <w:vAlign w:val="center"/>
          </w:tcPr>
          <w:p w14:paraId="2753A675">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19</w:t>
            </w:r>
          </w:p>
        </w:tc>
        <w:tc>
          <w:tcPr>
            <w:tcW w:w="6735" w:type="dxa"/>
            <w:vAlign w:val="center"/>
          </w:tcPr>
          <w:p w14:paraId="311FC345">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American Journal of Psychiatry</w:t>
            </w:r>
          </w:p>
        </w:tc>
        <w:tc>
          <w:tcPr>
            <w:tcW w:w="1559" w:type="dxa"/>
            <w:vAlign w:val="center"/>
          </w:tcPr>
          <w:p w14:paraId="11B9ADB4">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0002-953X</w:t>
            </w:r>
          </w:p>
        </w:tc>
      </w:tr>
      <w:tr w14:paraId="2F9F1D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3" w:hRule="atLeast"/>
        </w:trPr>
        <w:tc>
          <w:tcPr>
            <w:tcW w:w="839" w:type="dxa"/>
            <w:vAlign w:val="center"/>
          </w:tcPr>
          <w:p w14:paraId="44D16B8A">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20</w:t>
            </w:r>
          </w:p>
        </w:tc>
        <w:tc>
          <w:tcPr>
            <w:tcW w:w="6735" w:type="dxa"/>
            <w:vAlign w:val="center"/>
          </w:tcPr>
          <w:p w14:paraId="0182BBFC">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Molecular Psychiatry</w:t>
            </w:r>
          </w:p>
        </w:tc>
        <w:tc>
          <w:tcPr>
            <w:tcW w:w="1559" w:type="dxa"/>
            <w:vAlign w:val="center"/>
          </w:tcPr>
          <w:p w14:paraId="149396AE">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1359-4184</w:t>
            </w:r>
          </w:p>
        </w:tc>
      </w:tr>
      <w:tr w14:paraId="6F906D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trPr>
        <w:tc>
          <w:tcPr>
            <w:tcW w:w="839" w:type="dxa"/>
            <w:vAlign w:val="center"/>
          </w:tcPr>
          <w:p w14:paraId="05E31A46">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21</w:t>
            </w:r>
          </w:p>
        </w:tc>
        <w:tc>
          <w:tcPr>
            <w:tcW w:w="6735" w:type="dxa"/>
            <w:vAlign w:val="center"/>
          </w:tcPr>
          <w:p w14:paraId="2AF64B3B">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Biological Psychiatry</w:t>
            </w:r>
          </w:p>
        </w:tc>
        <w:tc>
          <w:tcPr>
            <w:tcW w:w="1559" w:type="dxa"/>
            <w:vAlign w:val="center"/>
          </w:tcPr>
          <w:p w14:paraId="2816DCBD">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0006-3223</w:t>
            </w:r>
          </w:p>
        </w:tc>
      </w:tr>
      <w:tr w14:paraId="47874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3" w:hRule="atLeast"/>
        </w:trPr>
        <w:tc>
          <w:tcPr>
            <w:tcW w:w="839" w:type="dxa"/>
            <w:vAlign w:val="center"/>
          </w:tcPr>
          <w:p w14:paraId="7D3A0B0C">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22</w:t>
            </w:r>
          </w:p>
        </w:tc>
        <w:tc>
          <w:tcPr>
            <w:tcW w:w="6735" w:type="dxa"/>
            <w:vAlign w:val="center"/>
          </w:tcPr>
          <w:p w14:paraId="2B9161AC">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Journal of Child Psychology and Psychiatry</w:t>
            </w:r>
          </w:p>
        </w:tc>
        <w:tc>
          <w:tcPr>
            <w:tcW w:w="1559" w:type="dxa"/>
            <w:vAlign w:val="center"/>
          </w:tcPr>
          <w:p w14:paraId="71B3DDE5">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0021-9630</w:t>
            </w:r>
          </w:p>
        </w:tc>
      </w:tr>
      <w:tr w14:paraId="7C384E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3" w:hRule="atLeast"/>
        </w:trPr>
        <w:tc>
          <w:tcPr>
            <w:tcW w:w="9133" w:type="dxa"/>
            <w:gridSpan w:val="3"/>
            <w:vAlign w:val="center"/>
          </w:tcPr>
          <w:p w14:paraId="3CF80C0B">
            <w:pPr>
              <w:spacing w:before="118" w:line="226" w:lineRule="auto"/>
              <w:ind w:left="43" w:leftChars="0"/>
              <w:jc w:val="center"/>
              <w:rPr>
                <w:rFonts w:hint="eastAsia" w:ascii="宋体" w:hAnsi="宋体" w:eastAsia="宋体" w:cs="宋体"/>
                <w:sz w:val="24"/>
                <w:szCs w:val="24"/>
                <w:highlight w:val="none"/>
              </w:rPr>
            </w:pPr>
            <w:r>
              <w:rPr>
                <w:rFonts w:hint="eastAsia" w:ascii="黑体" w:hAnsi="黑体" w:eastAsia="黑体" w:cs="黑体"/>
                <w:b/>
                <w:bCs/>
                <w:spacing w:val="3"/>
                <w:sz w:val="24"/>
                <w:szCs w:val="24"/>
                <w:highlight w:val="none"/>
              </w:rPr>
              <w:t>二、一类层次</w:t>
            </w:r>
          </w:p>
        </w:tc>
      </w:tr>
      <w:tr w14:paraId="3148FD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3" w:hRule="atLeast"/>
        </w:trPr>
        <w:tc>
          <w:tcPr>
            <w:tcW w:w="839" w:type="dxa"/>
            <w:vAlign w:val="center"/>
          </w:tcPr>
          <w:p w14:paraId="7781C04B">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w:t>
            </w:r>
          </w:p>
        </w:tc>
        <w:tc>
          <w:tcPr>
            <w:tcW w:w="6735" w:type="dxa"/>
            <w:vAlign w:val="center"/>
          </w:tcPr>
          <w:p w14:paraId="735B89E2">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心理学报</w:t>
            </w:r>
          </w:p>
        </w:tc>
        <w:tc>
          <w:tcPr>
            <w:tcW w:w="1559" w:type="dxa"/>
            <w:vAlign w:val="center"/>
          </w:tcPr>
          <w:p w14:paraId="7249A438">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0439-755X</w:t>
            </w:r>
          </w:p>
        </w:tc>
      </w:tr>
      <w:tr w14:paraId="6B4569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3" w:hRule="atLeast"/>
        </w:trPr>
        <w:tc>
          <w:tcPr>
            <w:tcW w:w="839" w:type="dxa"/>
            <w:vAlign w:val="center"/>
          </w:tcPr>
          <w:p w14:paraId="5427F3BE">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2</w:t>
            </w:r>
          </w:p>
        </w:tc>
        <w:tc>
          <w:tcPr>
            <w:tcW w:w="6735" w:type="dxa"/>
            <w:vAlign w:val="center"/>
          </w:tcPr>
          <w:p w14:paraId="50499157">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心理科学</w:t>
            </w:r>
          </w:p>
        </w:tc>
        <w:tc>
          <w:tcPr>
            <w:tcW w:w="1559" w:type="dxa"/>
            <w:vAlign w:val="center"/>
          </w:tcPr>
          <w:p w14:paraId="4BDF1CE3">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1671-6981</w:t>
            </w:r>
          </w:p>
        </w:tc>
      </w:tr>
      <w:tr w14:paraId="50224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3" w:hRule="atLeast"/>
        </w:trPr>
        <w:tc>
          <w:tcPr>
            <w:tcW w:w="839" w:type="dxa"/>
            <w:vAlign w:val="center"/>
          </w:tcPr>
          <w:p w14:paraId="744DF293">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3</w:t>
            </w:r>
          </w:p>
        </w:tc>
        <w:tc>
          <w:tcPr>
            <w:tcW w:w="6735" w:type="dxa"/>
            <w:vAlign w:val="center"/>
          </w:tcPr>
          <w:p w14:paraId="4339ECBD">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Communications Biology</w:t>
            </w:r>
          </w:p>
        </w:tc>
        <w:tc>
          <w:tcPr>
            <w:tcW w:w="1559" w:type="dxa"/>
            <w:vAlign w:val="center"/>
          </w:tcPr>
          <w:p w14:paraId="1B882C87">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2399-3642</w:t>
            </w:r>
          </w:p>
        </w:tc>
      </w:tr>
      <w:tr w14:paraId="51F76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063B030D">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4</w:t>
            </w:r>
          </w:p>
        </w:tc>
        <w:tc>
          <w:tcPr>
            <w:tcW w:w="6735" w:type="dxa"/>
            <w:vAlign w:val="center"/>
          </w:tcPr>
          <w:p w14:paraId="452245C3">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Journal of Neurology Neurosurgery and Psychiatry</w:t>
            </w:r>
          </w:p>
        </w:tc>
        <w:tc>
          <w:tcPr>
            <w:tcW w:w="1559" w:type="dxa"/>
            <w:vAlign w:val="center"/>
          </w:tcPr>
          <w:p w14:paraId="2EEF2837">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0022-3050</w:t>
            </w:r>
          </w:p>
        </w:tc>
      </w:tr>
      <w:tr w14:paraId="420DF1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18D951A2">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5</w:t>
            </w:r>
          </w:p>
        </w:tc>
        <w:tc>
          <w:tcPr>
            <w:tcW w:w="6735" w:type="dxa"/>
            <w:vAlign w:val="center"/>
          </w:tcPr>
          <w:p w14:paraId="72F5F17B">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Neuroimage</w:t>
            </w:r>
          </w:p>
        </w:tc>
        <w:tc>
          <w:tcPr>
            <w:tcW w:w="1559" w:type="dxa"/>
            <w:vAlign w:val="center"/>
          </w:tcPr>
          <w:p w14:paraId="5F066406">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1053-8119</w:t>
            </w:r>
          </w:p>
        </w:tc>
      </w:tr>
      <w:tr w14:paraId="00A3E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0BA13D5E">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6</w:t>
            </w:r>
          </w:p>
        </w:tc>
        <w:tc>
          <w:tcPr>
            <w:tcW w:w="6735" w:type="dxa"/>
            <w:vAlign w:val="center"/>
          </w:tcPr>
          <w:p w14:paraId="668F7311">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Sleep Medicine Reviews</w:t>
            </w:r>
          </w:p>
        </w:tc>
        <w:tc>
          <w:tcPr>
            <w:tcW w:w="1559" w:type="dxa"/>
            <w:vAlign w:val="center"/>
          </w:tcPr>
          <w:p w14:paraId="77B551C5">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1087-0792</w:t>
            </w:r>
          </w:p>
        </w:tc>
      </w:tr>
      <w:tr w14:paraId="083604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7E8D7BAE">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7</w:t>
            </w:r>
          </w:p>
        </w:tc>
        <w:tc>
          <w:tcPr>
            <w:tcW w:w="6735" w:type="dxa"/>
            <w:vAlign w:val="center"/>
          </w:tcPr>
          <w:p w14:paraId="33D823BA">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Neurology</w:t>
            </w:r>
          </w:p>
        </w:tc>
        <w:tc>
          <w:tcPr>
            <w:tcW w:w="1559" w:type="dxa"/>
            <w:vAlign w:val="center"/>
          </w:tcPr>
          <w:p w14:paraId="7B309131">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0028-3878</w:t>
            </w:r>
          </w:p>
        </w:tc>
      </w:tr>
      <w:tr w14:paraId="64743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4DB68F83">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8</w:t>
            </w:r>
          </w:p>
        </w:tc>
        <w:tc>
          <w:tcPr>
            <w:tcW w:w="6735" w:type="dxa"/>
            <w:vAlign w:val="center"/>
          </w:tcPr>
          <w:p w14:paraId="01CE8BA3">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Molecular Autism</w:t>
            </w:r>
          </w:p>
        </w:tc>
        <w:tc>
          <w:tcPr>
            <w:tcW w:w="1559" w:type="dxa"/>
            <w:vAlign w:val="center"/>
          </w:tcPr>
          <w:p w14:paraId="2ABACFB5">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2040-2392</w:t>
            </w:r>
          </w:p>
        </w:tc>
      </w:tr>
      <w:tr w14:paraId="1B1FE9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1A215F8B">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9</w:t>
            </w:r>
          </w:p>
        </w:tc>
        <w:tc>
          <w:tcPr>
            <w:tcW w:w="6735" w:type="dxa"/>
            <w:vAlign w:val="center"/>
          </w:tcPr>
          <w:p w14:paraId="016DF48D">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Neuropsychology Review</w:t>
            </w:r>
          </w:p>
        </w:tc>
        <w:tc>
          <w:tcPr>
            <w:tcW w:w="1559" w:type="dxa"/>
            <w:vAlign w:val="center"/>
          </w:tcPr>
          <w:p w14:paraId="64DAEBE9">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1040-7308</w:t>
            </w:r>
          </w:p>
        </w:tc>
      </w:tr>
      <w:tr w14:paraId="7DDFDC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3B0D6EC7">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10</w:t>
            </w:r>
          </w:p>
        </w:tc>
        <w:tc>
          <w:tcPr>
            <w:tcW w:w="6735" w:type="dxa"/>
            <w:vAlign w:val="center"/>
          </w:tcPr>
          <w:p w14:paraId="1721056A">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Human Brain Mapping</w:t>
            </w:r>
          </w:p>
        </w:tc>
        <w:tc>
          <w:tcPr>
            <w:tcW w:w="1559" w:type="dxa"/>
            <w:vAlign w:val="center"/>
          </w:tcPr>
          <w:p w14:paraId="73B56E8F">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1065-9471</w:t>
            </w:r>
          </w:p>
        </w:tc>
      </w:tr>
      <w:tr w14:paraId="3EE71C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7B1F649F">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11</w:t>
            </w:r>
          </w:p>
        </w:tc>
        <w:tc>
          <w:tcPr>
            <w:tcW w:w="6735" w:type="dxa"/>
            <w:vAlign w:val="center"/>
          </w:tcPr>
          <w:p w14:paraId="38E7FE8A">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Cortex</w:t>
            </w:r>
          </w:p>
        </w:tc>
        <w:tc>
          <w:tcPr>
            <w:tcW w:w="1559" w:type="dxa"/>
            <w:vAlign w:val="center"/>
          </w:tcPr>
          <w:p w14:paraId="76AD9ED2">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0010-9452</w:t>
            </w:r>
          </w:p>
        </w:tc>
      </w:tr>
      <w:tr w14:paraId="5E2EA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409D6A25">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12</w:t>
            </w:r>
          </w:p>
        </w:tc>
        <w:tc>
          <w:tcPr>
            <w:tcW w:w="6735" w:type="dxa"/>
            <w:vAlign w:val="center"/>
          </w:tcPr>
          <w:p w14:paraId="4BB70488">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Cns Neuroscience &amp; Therapeutics</w:t>
            </w:r>
          </w:p>
        </w:tc>
        <w:tc>
          <w:tcPr>
            <w:tcW w:w="1559" w:type="dxa"/>
            <w:vAlign w:val="center"/>
          </w:tcPr>
          <w:p w14:paraId="0AA8C7A1">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1755-5949</w:t>
            </w:r>
          </w:p>
        </w:tc>
      </w:tr>
      <w:tr w14:paraId="06605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5DD2C60C">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13</w:t>
            </w:r>
          </w:p>
        </w:tc>
        <w:tc>
          <w:tcPr>
            <w:tcW w:w="6735" w:type="dxa"/>
            <w:vAlign w:val="center"/>
          </w:tcPr>
          <w:p w14:paraId="073E9678">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National Science Review</w:t>
            </w:r>
          </w:p>
        </w:tc>
        <w:tc>
          <w:tcPr>
            <w:tcW w:w="1559" w:type="dxa"/>
            <w:vAlign w:val="center"/>
          </w:tcPr>
          <w:p w14:paraId="115F1522">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2095-5138</w:t>
            </w:r>
          </w:p>
        </w:tc>
      </w:tr>
      <w:tr w14:paraId="173AB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1C270094">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14</w:t>
            </w:r>
          </w:p>
        </w:tc>
        <w:tc>
          <w:tcPr>
            <w:tcW w:w="6735" w:type="dxa"/>
            <w:vAlign w:val="center"/>
          </w:tcPr>
          <w:p w14:paraId="773EF735">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Autism Research</w:t>
            </w:r>
          </w:p>
        </w:tc>
        <w:tc>
          <w:tcPr>
            <w:tcW w:w="1559" w:type="dxa"/>
            <w:vAlign w:val="center"/>
          </w:tcPr>
          <w:p w14:paraId="40834884">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1939-3792</w:t>
            </w:r>
          </w:p>
        </w:tc>
      </w:tr>
      <w:tr w14:paraId="49191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75B38DFE">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15</w:t>
            </w:r>
          </w:p>
        </w:tc>
        <w:tc>
          <w:tcPr>
            <w:tcW w:w="6735" w:type="dxa"/>
            <w:vAlign w:val="center"/>
          </w:tcPr>
          <w:p w14:paraId="6B163153">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Neurobiology of Language</w:t>
            </w:r>
          </w:p>
        </w:tc>
        <w:tc>
          <w:tcPr>
            <w:tcW w:w="1559" w:type="dxa"/>
            <w:vAlign w:val="center"/>
          </w:tcPr>
          <w:p w14:paraId="00EA319A">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2641-4368</w:t>
            </w:r>
          </w:p>
        </w:tc>
      </w:tr>
      <w:tr w14:paraId="1529F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56A357CD">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16</w:t>
            </w:r>
          </w:p>
        </w:tc>
        <w:tc>
          <w:tcPr>
            <w:tcW w:w="6735" w:type="dxa"/>
            <w:vAlign w:val="center"/>
          </w:tcPr>
          <w:p w14:paraId="2C1EE29F">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Developmental Psychology</w:t>
            </w:r>
          </w:p>
        </w:tc>
        <w:tc>
          <w:tcPr>
            <w:tcW w:w="1559" w:type="dxa"/>
            <w:vAlign w:val="center"/>
          </w:tcPr>
          <w:p w14:paraId="43429FCC">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0012-1649</w:t>
            </w:r>
          </w:p>
        </w:tc>
      </w:tr>
      <w:tr w14:paraId="13FCD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7FD9ED4A">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17</w:t>
            </w:r>
          </w:p>
        </w:tc>
        <w:tc>
          <w:tcPr>
            <w:tcW w:w="6735" w:type="dxa"/>
            <w:vAlign w:val="center"/>
          </w:tcPr>
          <w:p w14:paraId="58F6DFEF">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Neuroscience Bulletin</w:t>
            </w:r>
          </w:p>
        </w:tc>
        <w:tc>
          <w:tcPr>
            <w:tcW w:w="1559" w:type="dxa"/>
            <w:vAlign w:val="center"/>
          </w:tcPr>
          <w:p w14:paraId="3121A5FE">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1673-7067</w:t>
            </w:r>
          </w:p>
        </w:tc>
      </w:tr>
      <w:tr w14:paraId="568BF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25459740">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p>
          <w:p w14:paraId="2CB05137">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p>
          <w:p w14:paraId="0508D883">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18</w:t>
            </w:r>
          </w:p>
        </w:tc>
        <w:tc>
          <w:tcPr>
            <w:tcW w:w="6735" w:type="dxa"/>
            <w:vAlign w:val="center"/>
          </w:tcPr>
          <w:p w14:paraId="27C8ECD8">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p>
          <w:p w14:paraId="5D70230B">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p>
          <w:p w14:paraId="77209645">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Journal of Experimental Psychology-系列</w:t>
            </w:r>
          </w:p>
        </w:tc>
        <w:tc>
          <w:tcPr>
            <w:tcW w:w="1559" w:type="dxa"/>
            <w:vAlign w:val="center"/>
          </w:tcPr>
          <w:p w14:paraId="56650C9C">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0278-7393;</w:t>
            </w:r>
          </w:p>
          <w:p w14:paraId="06347155">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0096-1523;</w:t>
            </w:r>
          </w:p>
          <w:p w14:paraId="7215222F">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2329-8456;</w:t>
            </w:r>
          </w:p>
          <w:p w14:paraId="3A7F5FCA">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1076-898X</w:t>
            </w:r>
          </w:p>
        </w:tc>
      </w:tr>
      <w:tr w14:paraId="2A9450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3ADAE528">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19</w:t>
            </w:r>
          </w:p>
        </w:tc>
        <w:tc>
          <w:tcPr>
            <w:tcW w:w="6735" w:type="dxa"/>
            <w:vAlign w:val="center"/>
          </w:tcPr>
          <w:p w14:paraId="28DD5CD2">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Psychological Science In The Public Interest</w:t>
            </w:r>
          </w:p>
        </w:tc>
        <w:tc>
          <w:tcPr>
            <w:tcW w:w="1559" w:type="dxa"/>
            <w:vAlign w:val="center"/>
          </w:tcPr>
          <w:p w14:paraId="51766A16">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1529-1006</w:t>
            </w:r>
          </w:p>
        </w:tc>
      </w:tr>
      <w:tr w14:paraId="35C11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208B22AC">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20</w:t>
            </w:r>
          </w:p>
        </w:tc>
        <w:tc>
          <w:tcPr>
            <w:tcW w:w="6735" w:type="dxa"/>
            <w:vAlign w:val="center"/>
          </w:tcPr>
          <w:p w14:paraId="0F468B70">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Developmental Review</w:t>
            </w:r>
          </w:p>
        </w:tc>
        <w:tc>
          <w:tcPr>
            <w:tcW w:w="1559" w:type="dxa"/>
            <w:vAlign w:val="center"/>
          </w:tcPr>
          <w:p w14:paraId="5CC3E7E9">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0273-2297</w:t>
            </w:r>
          </w:p>
        </w:tc>
      </w:tr>
      <w:tr w14:paraId="6FD78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7E7A7164">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21</w:t>
            </w:r>
          </w:p>
        </w:tc>
        <w:tc>
          <w:tcPr>
            <w:tcW w:w="6735" w:type="dxa"/>
            <w:vAlign w:val="center"/>
          </w:tcPr>
          <w:p w14:paraId="78CFE020">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Psychology and Aging</w:t>
            </w:r>
          </w:p>
        </w:tc>
        <w:tc>
          <w:tcPr>
            <w:tcW w:w="1559" w:type="dxa"/>
            <w:vAlign w:val="center"/>
          </w:tcPr>
          <w:p w14:paraId="4B7D7C4B">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0882-7974</w:t>
            </w:r>
          </w:p>
        </w:tc>
      </w:tr>
      <w:tr w14:paraId="65974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11B2F121">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22</w:t>
            </w:r>
          </w:p>
        </w:tc>
        <w:tc>
          <w:tcPr>
            <w:tcW w:w="6735" w:type="dxa"/>
            <w:vAlign w:val="center"/>
          </w:tcPr>
          <w:p w14:paraId="6C51192C">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Journal of Occupational Health Psychology</w:t>
            </w:r>
          </w:p>
        </w:tc>
        <w:tc>
          <w:tcPr>
            <w:tcW w:w="1559" w:type="dxa"/>
            <w:vAlign w:val="center"/>
          </w:tcPr>
          <w:p w14:paraId="5BFCDFE5">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1076-8998</w:t>
            </w:r>
          </w:p>
        </w:tc>
      </w:tr>
      <w:tr w14:paraId="36F58D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4877A27C">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23</w:t>
            </w:r>
          </w:p>
        </w:tc>
        <w:tc>
          <w:tcPr>
            <w:tcW w:w="6735" w:type="dxa"/>
            <w:vAlign w:val="center"/>
          </w:tcPr>
          <w:p w14:paraId="175C1E21">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Emotion</w:t>
            </w:r>
          </w:p>
        </w:tc>
        <w:tc>
          <w:tcPr>
            <w:tcW w:w="1559" w:type="dxa"/>
            <w:vAlign w:val="center"/>
          </w:tcPr>
          <w:p w14:paraId="2009D241">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1528-3542</w:t>
            </w:r>
          </w:p>
        </w:tc>
      </w:tr>
      <w:tr w14:paraId="3AECD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0D69C052">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24</w:t>
            </w:r>
          </w:p>
        </w:tc>
        <w:tc>
          <w:tcPr>
            <w:tcW w:w="6735" w:type="dxa"/>
            <w:vAlign w:val="center"/>
          </w:tcPr>
          <w:p w14:paraId="2A921ACF">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Cognition and Instruction</w:t>
            </w:r>
          </w:p>
        </w:tc>
        <w:tc>
          <w:tcPr>
            <w:tcW w:w="1559" w:type="dxa"/>
            <w:vAlign w:val="center"/>
          </w:tcPr>
          <w:p w14:paraId="76E3A6D2">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0737-0008</w:t>
            </w:r>
          </w:p>
        </w:tc>
      </w:tr>
      <w:tr w14:paraId="6A88EC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2349F92A">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25</w:t>
            </w:r>
          </w:p>
        </w:tc>
        <w:tc>
          <w:tcPr>
            <w:tcW w:w="6735" w:type="dxa"/>
            <w:vAlign w:val="center"/>
          </w:tcPr>
          <w:p w14:paraId="14BEBCF2">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Npj Science of Learning</w:t>
            </w:r>
          </w:p>
        </w:tc>
        <w:tc>
          <w:tcPr>
            <w:tcW w:w="1559" w:type="dxa"/>
            <w:vAlign w:val="center"/>
          </w:tcPr>
          <w:p w14:paraId="33864804">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2056-7936</w:t>
            </w:r>
          </w:p>
        </w:tc>
      </w:tr>
      <w:tr w14:paraId="11FD5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47EB3ABB">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26</w:t>
            </w:r>
          </w:p>
        </w:tc>
        <w:tc>
          <w:tcPr>
            <w:tcW w:w="6735" w:type="dxa"/>
            <w:vAlign w:val="center"/>
          </w:tcPr>
          <w:p w14:paraId="7FCD8E02">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Behavior Research Methods</w:t>
            </w:r>
          </w:p>
        </w:tc>
        <w:tc>
          <w:tcPr>
            <w:tcW w:w="1559" w:type="dxa"/>
            <w:vAlign w:val="center"/>
          </w:tcPr>
          <w:p w14:paraId="778A7A0E">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1554-351X</w:t>
            </w:r>
          </w:p>
        </w:tc>
      </w:tr>
      <w:tr w14:paraId="52409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6D1EDFF4">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27</w:t>
            </w:r>
          </w:p>
        </w:tc>
        <w:tc>
          <w:tcPr>
            <w:tcW w:w="6735" w:type="dxa"/>
            <w:vAlign w:val="center"/>
          </w:tcPr>
          <w:p w14:paraId="7059F42A">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Cognitive Psychology</w:t>
            </w:r>
          </w:p>
        </w:tc>
        <w:tc>
          <w:tcPr>
            <w:tcW w:w="1559" w:type="dxa"/>
            <w:vAlign w:val="center"/>
          </w:tcPr>
          <w:p w14:paraId="59271E1C">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0010-0285</w:t>
            </w:r>
          </w:p>
        </w:tc>
      </w:tr>
      <w:tr w14:paraId="0F0E83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3B0595C0">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28</w:t>
            </w:r>
          </w:p>
        </w:tc>
        <w:tc>
          <w:tcPr>
            <w:tcW w:w="6735" w:type="dxa"/>
            <w:vAlign w:val="center"/>
          </w:tcPr>
          <w:p w14:paraId="798C3999">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Social Psychological and Personality Science</w:t>
            </w:r>
          </w:p>
        </w:tc>
        <w:tc>
          <w:tcPr>
            <w:tcW w:w="1559" w:type="dxa"/>
            <w:vAlign w:val="center"/>
          </w:tcPr>
          <w:p w14:paraId="69B002C4">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1948-5506</w:t>
            </w:r>
          </w:p>
        </w:tc>
      </w:tr>
      <w:tr w14:paraId="3FC92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45CD8BB1">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29</w:t>
            </w:r>
          </w:p>
        </w:tc>
        <w:tc>
          <w:tcPr>
            <w:tcW w:w="6735" w:type="dxa"/>
            <w:vAlign w:val="center"/>
          </w:tcPr>
          <w:p w14:paraId="39BC6C6D">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Computers in Human Behavior</w:t>
            </w:r>
          </w:p>
        </w:tc>
        <w:tc>
          <w:tcPr>
            <w:tcW w:w="1559" w:type="dxa"/>
            <w:vAlign w:val="center"/>
          </w:tcPr>
          <w:p w14:paraId="1A69D2A7">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0747-5632</w:t>
            </w:r>
          </w:p>
        </w:tc>
      </w:tr>
      <w:tr w14:paraId="56D343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101448B0">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30</w:t>
            </w:r>
          </w:p>
        </w:tc>
        <w:tc>
          <w:tcPr>
            <w:tcW w:w="6735" w:type="dxa"/>
            <w:vAlign w:val="center"/>
          </w:tcPr>
          <w:p w14:paraId="3A77EEC4">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Developmental Science</w:t>
            </w:r>
          </w:p>
        </w:tc>
        <w:tc>
          <w:tcPr>
            <w:tcW w:w="1559" w:type="dxa"/>
            <w:vAlign w:val="center"/>
          </w:tcPr>
          <w:p w14:paraId="4CDAAC51">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1363-755X</w:t>
            </w:r>
          </w:p>
        </w:tc>
      </w:tr>
      <w:tr w14:paraId="29325D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67BD7002">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31</w:t>
            </w:r>
          </w:p>
        </w:tc>
        <w:tc>
          <w:tcPr>
            <w:tcW w:w="6735" w:type="dxa"/>
            <w:vAlign w:val="center"/>
          </w:tcPr>
          <w:p w14:paraId="589B9F5A">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Advances in Experimental Social Psychology</w:t>
            </w:r>
          </w:p>
        </w:tc>
        <w:tc>
          <w:tcPr>
            <w:tcW w:w="1559" w:type="dxa"/>
            <w:vAlign w:val="center"/>
          </w:tcPr>
          <w:p w14:paraId="280A3C66">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0065-2601</w:t>
            </w:r>
          </w:p>
        </w:tc>
      </w:tr>
      <w:tr w14:paraId="6DCF95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24D80A60">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32</w:t>
            </w:r>
          </w:p>
        </w:tc>
        <w:tc>
          <w:tcPr>
            <w:tcW w:w="6735" w:type="dxa"/>
            <w:vAlign w:val="center"/>
          </w:tcPr>
          <w:p w14:paraId="09129792">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Journal of Youth and Adolescence</w:t>
            </w:r>
          </w:p>
        </w:tc>
        <w:tc>
          <w:tcPr>
            <w:tcW w:w="1559" w:type="dxa"/>
            <w:vAlign w:val="center"/>
          </w:tcPr>
          <w:p w14:paraId="7DED7B23">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0047-2891</w:t>
            </w:r>
          </w:p>
        </w:tc>
      </w:tr>
      <w:tr w14:paraId="5FA3E1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470C9DC4">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33</w:t>
            </w:r>
          </w:p>
        </w:tc>
        <w:tc>
          <w:tcPr>
            <w:tcW w:w="6735" w:type="dxa"/>
            <w:vAlign w:val="center"/>
          </w:tcPr>
          <w:p w14:paraId="4414E5E1">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Cognition</w:t>
            </w:r>
          </w:p>
        </w:tc>
        <w:tc>
          <w:tcPr>
            <w:tcW w:w="1559" w:type="dxa"/>
            <w:vAlign w:val="center"/>
          </w:tcPr>
          <w:p w14:paraId="520F827A">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0010-0277</w:t>
            </w:r>
          </w:p>
        </w:tc>
      </w:tr>
      <w:tr w14:paraId="556B4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71588987">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34</w:t>
            </w:r>
          </w:p>
        </w:tc>
        <w:tc>
          <w:tcPr>
            <w:tcW w:w="6735" w:type="dxa"/>
            <w:vAlign w:val="center"/>
          </w:tcPr>
          <w:p w14:paraId="5C102859">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Brain Stimulation</w:t>
            </w:r>
          </w:p>
        </w:tc>
        <w:tc>
          <w:tcPr>
            <w:tcW w:w="1559" w:type="dxa"/>
            <w:vAlign w:val="center"/>
          </w:tcPr>
          <w:p w14:paraId="4C2D2D19">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1935-861X</w:t>
            </w:r>
          </w:p>
        </w:tc>
      </w:tr>
      <w:tr w14:paraId="29EF8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2727C661">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35</w:t>
            </w:r>
          </w:p>
        </w:tc>
        <w:tc>
          <w:tcPr>
            <w:tcW w:w="6735" w:type="dxa"/>
            <w:vAlign w:val="center"/>
          </w:tcPr>
          <w:p w14:paraId="51A184D3">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International Journal of Epidemiology</w:t>
            </w:r>
          </w:p>
        </w:tc>
        <w:tc>
          <w:tcPr>
            <w:tcW w:w="1559" w:type="dxa"/>
            <w:vAlign w:val="center"/>
          </w:tcPr>
          <w:p w14:paraId="05351DBD">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0300-5771</w:t>
            </w:r>
          </w:p>
        </w:tc>
      </w:tr>
      <w:tr w14:paraId="6E3B65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043C45D8">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36</w:t>
            </w:r>
          </w:p>
        </w:tc>
        <w:tc>
          <w:tcPr>
            <w:tcW w:w="6735" w:type="dxa"/>
            <w:vAlign w:val="center"/>
          </w:tcPr>
          <w:p w14:paraId="66B88788">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Psychological Medicine</w:t>
            </w:r>
          </w:p>
        </w:tc>
        <w:tc>
          <w:tcPr>
            <w:tcW w:w="1559" w:type="dxa"/>
            <w:vAlign w:val="center"/>
          </w:tcPr>
          <w:p w14:paraId="4C19A47F">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0033-2917</w:t>
            </w:r>
          </w:p>
        </w:tc>
      </w:tr>
      <w:tr w14:paraId="46A408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669B136F">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37</w:t>
            </w:r>
          </w:p>
        </w:tc>
        <w:tc>
          <w:tcPr>
            <w:tcW w:w="6735" w:type="dxa"/>
            <w:vAlign w:val="center"/>
          </w:tcPr>
          <w:p w14:paraId="0F286035">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Autism</w:t>
            </w:r>
          </w:p>
        </w:tc>
        <w:tc>
          <w:tcPr>
            <w:tcW w:w="1559" w:type="dxa"/>
            <w:vAlign w:val="center"/>
          </w:tcPr>
          <w:p w14:paraId="0EED3F80">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1362-3613</w:t>
            </w:r>
          </w:p>
        </w:tc>
      </w:tr>
      <w:tr w14:paraId="55C8B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598E6C10">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38</w:t>
            </w:r>
          </w:p>
        </w:tc>
        <w:tc>
          <w:tcPr>
            <w:tcW w:w="6735" w:type="dxa"/>
            <w:vAlign w:val="center"/>
          </w:tcPr>
          <w:p w14:paraId="3D8DCBB3">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Journal of Affective Disorder</w:t>
            </w:r>
          </w:p>
        </w:tc>
        <w:tc>
          <w:tcPr>
            <w:tcW w:w="1559" w:type="dxa"/>
            <w:vAlign w:val="center"/>
          </w:tcPr>
          <w:p w14:paraId="0243A995">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0165-0327</w:t>
            </w:r>
          </w:p>
        </w:tc>
      </w:tr>
      <w:tr w14:paraId="45719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47265C03">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39</w:t>
            </w:r>
          </w:p>
        </w:tc>
        <w:tc>
          <w:tcPr>
            <w:tcW w:w="6735" w:type="dxa"/>
            <w:vAlign w:val="center"/>
          </w:tcPr>
          <w:p w14:paraId="0B778711">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Journal of Consulting and Clinical Psychology</w:t>
            </w:r>
          </w:p>
        </w:tc>
        <w:tc>
          <w:tcPr>
            <w:tcW w:w="1559" w:type="dxa"/>
            <w:vAlign w:val="center"/>
          </w:tcPr>
          <w:p w14:paraId="65C75E1D">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0022-006X</w:t>
            </w:r>
          </w:p>
        </w:tc>
      </w:tr>
      <w:tr w14:paraId="66ACAD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4D835D9D">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40</w:t>
            </w:r>
          </w:p>
        </w:tc>
        <w:tc>
          <w:tcPr>
            <w:tcW w:w="6735" w:type="dxa"/>
            <w:vAlign w:val="center"/>
          </w:tcPr>
          <w:p w14:paraId="6E0C2E09">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Appetite</w:t>
            </w:r>
          </w:p>
        </w:tc>
        <w:tc>
          <w:tcPr>
            <w:tcW w:w="1559" w:type="dxa"/>
            <w:vAlign w:val="center"/>
          </w:tcPr>
          <w:p w14:paraId="18313C82">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0195-6663</w:t>
            </w:r>
          </w:p>
        </w:tc>
      </w:tr>
      <w:tr w14:paraId="4FC59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15464DAF">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41</w:t>
            </w:r>
          </w:p>
        </w:tc>
        <w:tc>
          <w:tcPr>
            <w:tcW w:w="6735" w:type="dxa"/>
            <w:vAlign w:val="center"/>
          </w:tcPr>
          <w:p w14:paraId="09AFB6FE">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British Journal of Psychiatry</w:t>
            </w:r>
          </w:p>
        </w:tc>
        <w:tc>
          <w:tcPr>
            <w:tcW w:w="1559" w:type="dxa"/>
            <w:vAlign w:val="center"/>
          </w:tcPr>
          <w:p w14:paraId="07EE8227">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0007-1250</w:t>
            </w:r>
          </w:p>
        </w:tc>
      </w:tr>
      <w:tr w14:paraId="2E167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29266064">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42</w:t>
            </w:r>
          </w:p>
        </w:tc>
        <w:tc>
          <w:tcPr>
            <w:tcW w:w="6735" w:type="dxa"/>
            <w:vAlign w:val="center"/>
          </w:tcPr>
          <w:p w14:paraId="0F3F999F">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Translational Psychiatry</w:t>
            </w:r>
          </w:p>
        </w:tc>
        <w:tc>
          <w:tcPr>
            <w:tcW w:w="1559" w:type="dxa"/>
            <w:vAlign w:val="center"/>
          </w:tcPr>
          <w:p w14:paraId="4E8058D5">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2158-3188</w:t>
            </w:r>
          </w:p>
        </w:tc>
      </w:tr>
      <w:tr w14:paraId="3250B3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268AD500">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43</w:t>
            </w:r>
          </w:p>
        </w:tc>
        <w:tc>
          <w:tcPr>
            <w:tcW w:w="6735" w:type="dxa"/>
            <w:vAlign w:val="center"/>
          </w:tcPr>
          <w:p w14:paraId="7343634A">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JAMA Network Open</w:t>
            </w:r>
          </w:p>
        </w:tc>
        <w:tc>
          <w:tcPr>
            <w:tcW w:w="1559" w:type="dxa"/>
            <w:vAlign w:val="center"/>
          </w:tcPr>
          <w:p w14:paraId="1F8B0B65">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2574-3805</w:t>
            </w:r>
          </w:p>
        </w:tc>
      </w:tr>
      <w:tr w14:paraId="32561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084823A7">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44</w:t>
            </w:r>
          </w:p>
        </w:tc>
        <w:tc>
          <w:tcPr>
            <w:tcW w:w="6735" w:type="dxa"/>
            <w:vAlign w:val="center"/>
          </w:tcPr>
          <w:p w14:paraId="0AA46FE2">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Journal of Clinical Child and Adolescent Psychology</w:t>
            </w:r>
          </w:p>
        </w:tc>
        <w:tc>
          <w:tcPr>
            <w:tcW w:w="1559" w:type="dxa"/>
            <w:vAlign w:val="center"/>
          </w:tcPr>
          <w:p w14:paraId="651B2E83">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1537-4416</w:t>
            </w:r>
          </w:p>
        </w:tc>
      </w:tr>
      <w:tr w14:paraId="147E22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6A135EFD">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45</w:t>
            </w:r>
          </w:p>
        </w:tc>
        <w:tc>
          <w:tcPr>
            <w:tcW w:w="6735" w:type="dxa"/>
            <w:vAlign w:val="center"/>
          </w:tcPr>
          <w:p w14:paraId="394D9614">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Journal of Psychiatric Research</w:t>
            </w:r>
          </w:p>
        </w:tc>
        <w:tc>
          <w:tcPr>
            <w:tcW w:w="1559" w:type="dxa"/>
            <w:vAlign w:val="center"/>
          </w:tcPr>
          <w:p w14:paraId="7D5C9AE9">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0022-3956</w:t>
            </w:r>
          </w:p>
        </w:tc>
      </w:tr>
      <w:tr w14:paraId="261184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18C5A97A">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46</w:t>
            </w:r>
          </w:p>
        </w:tc>
        <w:tc>
          <w:tcPr>
            <w:tcW w:w="6735" w:type="dxa"/>
            <w:vAlign w:val="center"/>
          </w:tcPr>
          <w:p w14:paraId="225E63F1">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Journal of The American Academy of Child and Adolescent Psychiatry</w:t>
            </w:r>
          </w:p>
        </w:tc>
        <w:tc>
          <w:tcPr>
            <w:tcW w:w="1559" w:type="dxa"/>
            <w:vAlign w:val="center"/>
          </w:tcPr>
          <w:p w14:paraId="147ACC2A">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0890-8567</w:t>
            </w:r>
          </w:p>
        </w:tc>
      </w:tr>
      <w:tr w14:paraId="53F049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352DF120">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47</w:t>
            </w:r>
          </w:p>
        </w:tc>
        <w:tc>
          <w:tcPr>
            <w:tcW w:w="6735" w:type="dxa"/>
            <w:vAlign w:val="center"/>
          </w:tcPr>
          <w:p w14:paraId="5572AAA7">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Lancet Psychiatry</w:t>
            </w:r>
          </w:p>
        </w:tc>
        <w:tc>
          <w:tcPr>
            <w:tcW w:w="1559" w:type="dxa"/>
            <w:vAlign w:val="center"/>
          </w:tcPr>
          <w:p w14:paraId="54DB635D">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2215-0374</w:t>
            </w:r>
          </w:p>
        </w:tc>
      </w:tr>
      <w:tr w14:paraId="74AD8A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46736320">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48</w:t>
            </w:r>
          </w:p>
        </w:tc>
        <w:tc>
          <w:tcPr>
            <w:tcW w:w="6735" w:type="dxa"/>
            <w:vAlign w:val="center"/>
          </w:tcPr>
          <w:p w14:paraId="05754094">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JAMA Psychiatry</w:t>
            </w:r>
          </w:p>
        </w:tc>
        <w:tc>
          <w:tcPr>
            <w:tcW w:w="1559" w:type="dxa"/>
            <w:vAlign w:val="center"/>
          </w:tcPr>
          <w:p w14:paraId="3E96C09C">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2168-622X</w:t>
            </w:r>
          </w:p>
        </w:tc>
      </w:tr>
      <w:tr w14:paraId="255CFF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9133" w:type="dxa"/>
            <w:gridSpan w:val="3"/>
            <w:vAlign w:val="center"/>
          </w:tcPr>
          <w:p w14:paraId="64FD9F8C">
            <w:pPr>
              <w:spacing w:before="118" w:line="226" w:lineRule="auto"/>
              <w:ind w:left="43" w:leftChars="0"/>
              <w:jc w:val="center"/>
              <w:rPr>
                <w:rFonts w:hint="eastAsia" w:ascii="黑体" w:hAnsi="黑体" w:eastAsia="黑体" w:cs="黑体"/>
                <w:b/>
                <w:bCs/>
                <w:spacing w:val="3"/>
                <w:sz w:val="24"/>
                <w:szCs w:val="24"/>
                <w:highlight w:val="none"/>
              </w:rPr>
            </w:pPr>
            <w:r>
              <w:rPr>
                <w:rFonts w:hint="eastAsia" w:ascii="黑体" w:hAnsi="黑体" w:eastAsia="黑体" w:cs="黑体"/>
                <w:b/>
                <w:bCs/>
                <w:spacing w:val="3"/>
                <w:sz w:val="24"/>
                <w:szCs w:val="24"/>
                <w:highlight w:val="none"/>
              </w:rPr>
              <w:t>三、二类层次</w:t>
            </w:r>
          </w:p>
        </w:tc>
      </w:tr>
      <w:tr w14:paraId="423A5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39E6E6D8">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w:t>
            </w:r>
          </w:p>
        </w:tc>
        <w:tc>
          <w:tcPr>
            <w:tcW w:w="6735" w:type="dxa"/>
            <w:vAlign w:val="center"/>
          </w:tcPr>
          <w:p w14:paraId="0D0969F8">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心理发展与教育</w:t>
            </w:r>
          </w:p>
        </w:tc>
        <w:tc>
          <w:tcPr>
            <w:tcW w:w="1559" w:type="dxa"/>
            <w:vAlign w:val="center"/>
          </w:tcPr>
          <w:p w14:paraId="1346A8D2">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1001-4918</w:t>
            </w:r>
          </w:p>
        </w:tc>
      </w:tr>
      <w:tr w14:paraId="20F70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307FD4D6">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2</w:t>
            </w:r>
          </w:p>
        </w:tc>
        <w:tc>
          <w:tcPr>
            <w:tcW w:w="6735" w:type="dxa"/>
            <w:vAlign w:val="center"/>
          </w:tcPr>
          <w:p w14:paraId="73ABAE15">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心理科学进展</w:t>
            </w:r>
          </w:p>
        </w:tc>
        <w:tc>
          <w:tcPr>
            <w:tcW w:w="1559" w:type="dxa"/>
            <w:vAlign w:val="center"/>
          </w:tcPr>
          <w:p w14:paraId="7E2140DC">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1671-3710</w:t>
            </w:r>
          </w:p>
        </w:tc>
      </w:tr>
      <w:tr w14:paraId="59CCA4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76E4B8D8">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3</w:t>
            </w:r>
          </w:p>
        </w:tc>
        <w:tc>
          <w:tcPr>
            <w:tcW w:w="6735" w:type="dxa"/>
            <w:vAlign w:val="center"/>
          </w:tcPr>
          <w:p w14:paraId="0F393ED3">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Social Cognitive and Affective Neuroscience</w:t>
            </w:r>
          </w:p>
        </w:tc>
        <w:tc>
          <w:tcPr>
            <w:tcW w:w="1559" w:type="dxa"/>
            <w:vAlign w:val="center"/>
          </w:tcPr>
          <w:p w14:paraId="33F58E7F">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1749-5016</w:t>
            </w:r>
          </w:p>
        </w:tc>
      </w:tr>
      <w:tr w14:paraId="4A4447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6F08A193">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4</w:t>
            </w:r>
          </w:p>
        </w:tc>
        <w:tc>
          <w:tcPr>
            <w:tcW w:w="6735" w:type="dxa"/>
            <w:vAlign w:val="center"/>
          </w:tcPr>
          <w:p w14:paraId="40CBD57C">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Cerebral Cortex</w:t>
            </w:r>
          </w:p>
        </w:tc>
        <w:tc>
          <w:tcPr>
            <w:tcW w:w="1559" w:type="dxa"/>
            <w:vAlign w:val="center"/>
          </w:tcPr>
          <w:p w14:paraId="3F59944A">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1047-3211</w:t>
            </w:r>
          </w:p>
        </w:tc>
      </w:tr>
      <w:tr w14:paraId="51654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5D2B7A7B">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5</w:t>
            </w:r>
          </w:p>
        </w:tc>
        <w:tc>
          <w:tcPr>
            <w:tcW w:w="6735" w:type="dxa"/>
            <w:vAlign w:val="center"/>
          </w:tcPr>
          <w:p w14:paraId="02580776">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Biological Psychiatry-Cognitive Neuroscience and Neuroimaging</w:t>
            </w:r>
          </w:p>
        </w:tc>
        <w:tc>
          <w:tcPr>
            <w:tcW w:w="1559" w:type="dxa"/>
            <w:vAlign w:val="center"/>
          </w:tcPr>
          <w:p w14:paraId="7A6C5E25">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2451-9022</w:t>
            </w:r>
          </w:p>
        </w:tc>
      </w:tr>
      <w:tr w14:paraId="5B9E7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3EE889C8">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6</w:t>
            </w:r>
          </w:p>
        </w:tc>
        <w:tc>
          <w:tcPr>
            <w:tcW w:w="6735" w:type="dxa"/>
            <w:vAlign w:val="center"/>
          </w:tcPr>
          <w:p w14:paraId="3E55244D">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Sleep</w:t>
            </w:r>
          </w:p>
        </w:tc>
        <w:tc>
          <w:tcPr>
            <w:tcW w:w="1559" w:type="dxa"/>
            <w:vAlign w:val="center"/>
          </w:tcPr>
          <w:p w14:paraId="2B11A9C7">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1550-9109</w:t>
            </w:r>
          </w:p>
        </w:tc>
      </w:tr>
      <w:tr w14:paraId="53F498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16ED5FDD">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7</w:t>
            </w:r>
          </w:p>
        </w:tc>
        <w:tc>
          <w:tcPr>
            <w:tcW w:w="6735" w:type="dxa"/>
            <w:vAlign w:val="center"/>
          </w:tcPr>
          <w:p w14:paraId="41927CEF">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Developmental Cognitive Neuroscience</w:t>
            </w:r>
          </w:p>
        </w:tc>
        <w:tc>
          <w:tcPr>
            <w:tcW w:w="1559" w:type="dxa"/>
            <w:vAlign w:val="center"/>
          </w:tcPr>
          <w:p w14:paraId="0E79B8D6">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1878-9293</w:t>
            </w:r>
          </w:p>
        </w:tc>
      </w:tr>
      <w:tr w14:paraId="6EFC7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5539A151">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8</w:t>
            </w:r>
          </w:p>
        </w:tc>
        <w:tc>
          <w:tcPr>
            <w:tcW w:w="6735" w:type="dxa"/>
            <w:vAlign w:val="center"/>
          </w:tcPr>
          <w:p w14:paraId="666914CD">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Journal of Neurotrauma</w:t>
            </w:r>
          </w:p>
        </w:tc>
        <w:tc>
          <w:tcPr>
            <w:tcW w:w="1559" w:type="dxa"/>
            <w:vAlign w:val="center"/>
          </w:tcPr>
          <w:p w14:paraId="38BC30BC">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0897-7151</w:t>
            </w:r>
          </w:p>
        </w:tc>
      </w:tr>
      <w:tr w14:paraId="59039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415E18F3">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9</w:t>
            </w:r>
          </w:p>
        </w:tc>
        <w:tc>
          <w:tcPr>
            <w:tcW w:w="6735" w:type="dxa"/>
            <w:vAlign w:val="center"/>
          </w:tcPr>
          <w:p w14:paraId="0CCE0340">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Journal of Cognitive Neuroscience</w:t>
            </w:r>
          </w:p>
        </w:tc>
        <w:tc>
          <w:tcPr>
            <w:tcW w:w="1559" w:type="dxa"/>
            <w:vAlign w:val="center"/>
          </w:tcPr>
          <w:p w14:paraId="79EFFF4F">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0898-929X</w:t>
            </w:r>
          </w:p>
        </w:tc>
      </w:tr>
      <w:tr w14:paraId="74656C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3434D6E8">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10</w:t>
            </w:r>
          </w:p>
        </w:tc>
        <w:tc>
          <w:tcPr>
            <w:tcW w:w="6735" w:type="dxa"/>
            <w:vAlign w:val="center"/>
          </w:tcPr>
          <w:p w14:paraId="3FD02F48">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Neuroimage-Clinical</w:t>
            </w:r>
          </w:p>
        </w:tc>
        <w:tc>
          <w:tcPr>
            <w:tcW w:w="1559" w:type="dxa"/>
            <w:vAlign w:val="center"/>
          </w:tcPr>
          <w:p w14:paraId="798264F0">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2213-1582</w:t>
            </w:r>
          </w:p>
        </w:tc>
      </w:tr>
      <w:tr w14:paraId="50BD0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2C1538A6">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11</w:t>
            </w:r>
          </w:p>
        </w:tc>
        <w:tc>
          <w:tcPr>
            <w:tcW w:w="6735" w:type="dxa"/>
            <w:vAlign w:val="center"/>
          </w:tcPr>
          <w:p w14:paraId="3CBAD478">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Psychonomic Bulletin &amp; Review</w:t>
            </w:r>
          </w:p>
        </w:tc>
        <w:tc>
          <w:tcPr>
            <w:tcW w:w="1559" w:type="dxa"/>
            <w:vAlign w:val="center"/>
          </w:tcPr>
          <w:p w14:paraId="4087ED7E">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1069-9384</w:t>
            </w:r>
          </w:p>
        </w:tc>
      </w:tr>
      <w:tr w14:paraId="2D333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72540DE1">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12</w:t>
            </w:r>
          </w:p>
        </w:tc>
        <w:tc>
          <w:tcPr>
            <w:tcW w:w="6735" w:type="dxa"/>
            <w:vAlign w:val="center"/>
          </w:tcPr>
          <w:p w14:paraId="629FBECB">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Brain and Language</w:t>
            </w:r>
          </w:p>
        </w:tc>
        <w:tc>
          <w:tcPr>
            <w:tcW w:w="1559" w:type="dxa"/>
            <w:vAlign w:val="center"/>
          </w:tcPr>
          <w:p w14:paraId="4B44BC3E">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0093-934X</w:t>
            </w:r>
          </w:p>
        </w:tc>
      </w:tr>
      <w:tr w14:paraId="6F331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4668F654">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13</w:t>
            </w:r>
          </w:p>
        </w:tc>
        <w:tc>
          <w:tcPr>
            <w:tcW w:w="6735" w:type="dxa"/>
            <w:vAlign w:val="center"/>
          </w:tcPr>
          <w:p w14:paraId="4F67F4B9">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Psychophysiology</w:t>
            </w:r>
          </w:p>
        </w:tc>
        <w:tc>
          <w:tcPr>
            <w:tcW w:w="1559" w:type="dxa"/>
            <w:vAlign w:val="center"/>
          </w:tcPr>
          <w:p w14:paraId="59BBE347">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0048-5772</w:t>
            </w:r>
          </w:p>
        </w:tc>
      </w:tr>
      <w:tr w14:paraId="0C1BD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77BDD903">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14</w:t>
            </w:r>
          </w:p>
        </w:tc>
        <w:tc>
          <w:tcPr>
            <w:tcW w:w="6735" w:type="dxa"/>
            <w:vAlign w:val="center"/>
          </w:tcPr>
          <w:p w14:paraId="29B00560">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Educational Psychology</w:t>
            </w:r>
          </w:p>
        </w:tc>
        <w:tc>
          <w:tcPr>
            <w:tcW w:w="1559" w:type="dxa"/>
            <w:vAlign w:val="center"/>
          </w:tcPr>
          <w:p w14:paraId="1DD14B36">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0144-3410</w:t>
            </w:r>
          </w:p>
        </w:tc>
      </w:tr>
      <w:tr w14:paraId="05C9B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1EBCC3E4">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15</w:t>
            </w:r>
          </w:p>
        </w:tc>
        <w:tc>
          <w:tcPr>
            <w:tcW w:w="6735" w:type="dxa"/>
            <w:vAlign w:val="center"/>
          </w:tcPr>
          <w:p w14:paraId="3D8E4BFD">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Journal of Research on Adolescence</w:t>
            </w:r>
          </w:p>
        </w:tc>
        <w:tc>
          <w:tcPr>
            <w:tcW w:w="1559" w:type="dxa"/>
            <w:vAlign w:val="center"/>
          </w:tcPr>
          <w:p w14:paraId="667099CC">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1050-8392</w:t>
            </w:r>
          </w:p>
        </w:tc>
      </w:tr>
      <w:tr w14:paraId="33A6CA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3EBFB807">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16</w:t>
            </w:r>
          </w:p>
        </w:tc>
        <w:tc>
          <w:tcPr>
            <w:tcW w:w="6735" w:type="dxa"/>
            <w:vAlign w:val="center"/>
          </w:tcPr>
          <w:p w14:paraId="3423C4AC">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Journal of Speech Language and Hearing Research</w:t>
            </w:r>
          </w:p>
        </w:tc>
        <w:tc>
          <w:tcPr>
            <w:tcW w:w="1559" w:type="dxa"/>
            <w:vAlign w:val="center"/>
          </w:tcPr>
          <w:p w14:paraId="3579BDC4">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1092-4388</w:t>
            </w:r>
          </w:p>
        </w:tc>
      </w:tr>
      <w:tr w14:paraId="7F9BC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673E9FB0">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17</w:t>
            </w:r>
          </w:p>
        </w:tc>
        <w:tc>
          <w:tcPr>
            <w:tcW w:w="6735" w:type="dxa"/>
            <w:vAlign w:val="center"/>
          </w:tcPr>
          <w:p w14:paraId="2F2D8B8F">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Psychometrika</w:t>
            </w:r>
          </w:p>
        </w:tc>
        <w:tc>
          <w:tcPr>
            <w:tcW w:w="1559" w:type="dxa"/>
            <w:vAlign w:val="center"/>
          </w:tcPr>
          <w:p w14:paraId="17E14ED4">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0033-3123</w:t>
            </w:r>
          </w:p>
        </w:tc>
      </w:tr>
      <w:tr w14:paraId="28899C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511A9EFF">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18</w:t>
            </w:r>
          </w:p>
        </w:tc>
        <w:tc>
          <w:tcPr>
            <w:tcW w:w="6735" w:type="dxa"/>
            <w:vAlign w:val="center"/>
          </w:tcPr>
          <w:p w14:paraId="373C20A7">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Structural Equation Modeling-A Multidisciplinary Journal</w:t>
            </w:r>
          </w:p>
        </w:tc>
        <w:tc>
          <w:tcPr>
            <w:tcW w:w="1559" w:type="dxa"/>
            <w:vAlign w:val="center"/>
          </w:tcPr>
          <w:p w14:paraId="30AFF654">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1070-5511</w:t>
            </w:r>
          </w:p>
        </w:tc>
      </w:tr>
      <w:tr w14:paraId="11C19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555E9CB8">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19</w:t>
            </w:r>
          </w:p>
        </w:tc>
        <w:tc>
          <w:tcPr>
            <w:tcW w:w="6735" w:type="dxa"/>
            <w:vAlign w:val="center"/>
          </w:tcPr>
          <w:p w14:paraId="07CCA6BA">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Psychological Assessment</w:t>
            </w:r>
          </w:p>
        </w:tc>
        <w:tc>
          <w:tcPr>
            <w:tcW w:w="1559" w:type="dxa"/>
            <w:vAlign w:val="center"/>
          </w:tcPr>
          <w:p w14:paraId="4B0164AF">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1040-3590</w:t>
            </w:r>
          </w:p>
        </w:tc>
      </w:tr>
      <w:tr w14:paraId="13DEAE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041A34D1">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20</w:t>
            </w:r>
          </w:p>
        </w:tc>
        <w:tc>
          <w:tcPr>
            <w:tcW w:w="6735" w:type="dxa"/>
            <w:vAlign w:val="center"/>
          </w:tcPr>
          <w:p w14:paraId="1F2CBD08">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Reading and Writing</w:t>
            </w:r>
          </w:p>
        </w:tc>
        <w:tc>
          <w:tcPr>
            <w:tcW w:w="1559" w:type="dxa"/>
            <w:vAlign w:val="center"/>
          </w:tcPr>
          <w:p w14:paraId="28FD9B3C">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0922-4777</w:t>
            </w:r>
          </w:p>
        </w:tc>
      </w:tr>
      <w:tr w14:paraId="395EC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55C3E0DB">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21</w:t>
            </w:r>
          </w:p>
        </w:tc>
        <w:tc>
          <w:tcPr>
            <w:tcW w:w="6735" w:type="dxa"/>
            <w:vAlign w:val="center"/>
          </w:tcPr>
          <w:p w14:paraId="60D1EAEF">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Language and Speech</w:t>
            </w:r>
          </w:p>
        </w:tc>
        <w:tc>
          <w:tcPr>
            <w:tcW w:w="1559" w:type="dxa"/>
            <w:vAlign w:val="center"/>
          </w:tcPr>
          <w:p w14:paraId="638F0A23">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0023-8309</w:t>
            </w:r>
          </w:p>
        </w:tc>
      </w:tr>
      <w:tr w14:paraId="7EBC2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0775C4D0">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22</w:t>
            </w:r>
          </w:p>
        </w:tc>
        <w:tc>
          <w:tcPr>
            <w:tcW w:w="6735" w:type="dxa"/>
            <w:vAlign w:val="center"/>
          </w:tcPr>
          <w:p w14:paraId="6739E1EA">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Cognitive Science</w:t>
            </w:r>
          </w:p>
        </w:tc>
        <w:tc>
          <w:tcPr>
            <w:tcW w:w="1559" w:type="dxa"/>
            <w:vAlign w:val="center"/>
          </w:tcPr>
          <w:p w14:paraId="074A6383">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0364-0213</w:t>
            </w:r>
          </w:p>
        </w:tc>
      </w:tr>
      <w:tr w14:paraId="4FA37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23E57C52">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23</w:t>
            </w:r>
          </w:p>
        </w:tc>
        <w:tc>
          <w:tcPr>
            <w:tcW w:w="6735" w:type="dxa"/>
            <w:vAlign w:val="center"/>
          </w:tcPr>
          <w:p w14:paraId="5F6046DB">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Neural Networks</w:t>
            </w:r>
          </w:p>
        </w:tc>
        <w:tc>
          <w:tcPr>
            <w:tcW w:w="1559" w:type="dxa"/>
            <w:vAlign w:val="center"/>
          </w:tcPr>
          <w:p w14:paraId="478CBF87">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0893-6080</w:t>
            </w:r>
          </w:p>
        </w:tc>
      </w:tr>
      <w:tr w14:paraId="5E789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498C78AD">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24</w:t>
            </w:r>
          </w:p>
        </w:tc>
        <w:tc>
          <w:tcPr>
            <w:tcW w:w="6735" w:type="dxa"/>
            <w:vAlign w:val="center"/>
          </w:tcPr>
          <w:p w14:paraId="61A6DC73">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Pediatrics</w:t>
            </w:r>
          </w:p>
        </w:tc>
        <w:tc>
          <w:tcPr>
            <w:tcW w:w="1559" w:type="dxa"/>
            <w:vAlign w:val="center"/>
          </w:tcPr>
          <w:p w14:paraId="2769C05C">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0031-4005</w:t>
            </w:r>
          </w:p>
        </w:tc>
      </w:tr>
      <w:tr w14:paraId="18AF7D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19559E82">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25</w:t>
            </w:r>
          </w:p>
        </w:tc>
        <w:tc>
          <w:tcPr>
            <w:tcW w:w="6735" w:type="dxa"/>
            <w:vAlign w:val="center"/>
          </w:tcPr>
          <w:p w14:paraId="06E35F8B">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Personality and Social Psychology Review</w:t>
            </w:r>
          </w:p>
        </w:tc>
        <w:tc>
          <w:tcPr>
            <w:tcW w:w="1559" w:type="dxa"/>
            <w:vAlign w:val="center"/>
          </w:tcPr>
          <w:p w14:paraId="0D127027">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1088-8683</w:t>
            </w:r>
          </w:p>
        </w:tc>
      </w:tr>
      <w:tr w14:paraId="396C0B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43208EE5">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26</w:t>
            </w:r>
          </w:p>
        </w:tc>
        <w:tc>
          <w:tcPr>
            <w:tcW w:w="6735" w:type="dxa"/>
            <w:vAlign w:val="center"/>
          </w:tcPr>
          <w:p w14:paraId="119CD92F">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Journal of Happiness Studies</w:t>
            </w:r>
          </w:p>
        </w:tc>
        <w:tc>
          <w:tcPr>
            <w:tcW w:w="1559" w:type="dxa"/>
            <w:vAlign w:val="center"/>
          </w:tcPr>
          <w:p w14:paraId="27BA96DA">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1389-4978</w:t>
            </w:r>
          </w:p>
        </w:tc>
      </w:tr>
      <w:tr w14:paraId="3D038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57D787A7">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27</w:t>
            </w:r>
          </w:p>
        </w:tc>
        <w:tc>
          <w:tcPr>
            <w:tcW w:w="6735" w:type="dxa"/>
            <w:vAlign w:val="center"/>
          </w:tcPr>
          <w:p w14:paraId="7E4B0D6B">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Journal of School Psychology</w:t>
            </w:r>
          </w:p>
        </w:tc>
        <w:tc>
          <w:tcPr>
            <w:tcW w:w="1559" w:type="dxa"/>
            <w:vAlign w:val="center"/>
          </w:tcPr>
          <w:p w14:paraId="653209B8">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0022-4405</w:t>
            </w:r>
          </w:p>
        </w:tc>
      </w:tr>
      <w:tr w14:paraId="32333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7940814C">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28</w:t>
            </w:r>
          </w:p>
        </w:tc>
        <w:tc>
          <w:tcPr>
            <w:tcW w:w="6735" w:type="dxa"/>
            <w:vAlign w:val="center"/>
          </w:tcPr>
          <w:p w14:paraId="07F99CE3">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Learning and Individual Differences</w:t>
            </w:r>
          </w:p>
        </w:tc>
        <w:tc>
          <w:tcPr>
            <w:tcW w:w="1559" w:type="dxa"/>
            <w:vAlign w:val="center"/>
          </w:tcPr>
          <w:p w14:paraId="6EA6391B">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1041-6080</w:t>
            </w:r>
          </w:p>
        </w:tc>
      </w:tr>
      <w:tr w14:paraId="266A6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684F4541">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29</w:t>
            </w:r>
          </w:p>
        </w:tc>
        <w:tc>
          <w:tcPr>
            <w:tcW w:w="6735" w:type="dxa"/>
            <w:vAlign w:val="center"/>
          </w:tcPr>
          <w:p w14:paraId="52E0C2F5">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Clinical Psychology Review</w:t>
            </w:r>
          </w:p>
        </w:tc>
        <w:tc>
          <w:tcPr>
            <w:tcW w:w="1559" w:type="dxa"/>
            <w:vAlign w:val="center"/>
          </w:tcPr>
          <w:p w14:paraId="553D1636">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0272-7358</w:t>
            </w:r>
          </w:p>
        </w:tc>
      </w:tr>
      <w:tr w14:paraId="6500E2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5F4D8F51">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30</w:t>
            </w:r>
          </w:p>
        </w:tc>
        <w:tc>
          <w:tcPr>
            <w:tcW w:w="6735" w:type="dxa"/>
            <w:vAlign w:val="center"/>
          </w:tcPr>
          <w:p w14:paraId="68D98DC2">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Journal of Abnormal Psychology</w:t>
            </w:r>
          </w:p>
        </w:tc>
        <w:tc>
          <w:tcPr>
            <w:tcW w:w="1559" w:type="dxa"/>
            <w:vAlign w:val="center"/>
          </w:tcPr>
          <w:p w14:paraId="49E39347">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0021-843X</w:t>
            </w:r>
          </w:p>
        </w:tc>
      </w:tr>
      <w:tr w14:paraId="227D5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0FFF2DF7">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31</w:t>
            </w:r>
          </w:p>
        </w:tc>
        <w:tc>
          <w:tcPr>
            <w:tcW w:w="6735" w:type="dxa"/>
            <w:vAlign w:val="center"/>
          </w:tcPr>
          <w:p w14:paraId="1A668106">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Schizophrenia Bulletin</w:t>
            </w:r>
          </w:p>
        </w:tc>
        <w:tc>
          <w:tcPr>
            <w:tcW w:w="1559" w:type="dxa"/>
            <w:vAlign w:val="center"/>
          </w:tcPr>
          <w:p w14:paraId="11833C6C">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0586-7614</w:t>
            </w:r>
          </w:p>
        </w:tc>
      </w:tr>
      <w:tr w14:paraId="0575F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17EA7022">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32</w:t>
            </w:r>
          </w:p>
        </w:tc>
        <w:tc>
          <w:tcPr>
            <w:tcW w:w="6735" w:type="dxa"/>
            <w:vAlign w:val="center"/>
          </w:tcPr>
          <w:p w14:paraId="794692AA">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Annual Review of Vision Science</w:t>
            </w:r>
          </w:p>
        </w:tc>
        <w:tc>
          <w:tcPr>
            <w:tcW w:w="1559" w:type="dxa"/>
            <w:vAlign w:val="center"/>
          </w:tcPr>
          <w:p w14:paraId="18F3CD2D">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2374-4650</w:t>
            </w:r>
          </w:p>
        </w:tc>
      </w:tr>
      <w:tr w14:paraId="5545A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762E42F0">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33</w:t>
            </w:r>
          </w:p>
        </w:tc>
        <w:tc>
          <w:tcPr>
            <w:tcW w:w="6735" w:type="dxa"/>
            <w:vAlign w:val="center"/>
          </w:tcPr>
          <w:p w14:paraId="3BA15775">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Behaviour Research and Therapy</w:t>
            </w:r>
          </w:p>
        </w:tc>
        <w:tc>
          <w:tcPr>
            <w:tcW w:w="1559" w:type="dxa"/>
            <w:vAlign w:val="center"/>
          </w:tcPr>
          <w:p w14:paraId="1103E33C">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0005-7967</w:t>
            </w:r>
          </w:p>
        </w:tc>
      </w:tr>
      <w:tr w14:paraId="153FC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74FAA3B2">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34</w:t>
            </w:r>
          </w:p>
        </w:tc>
        <w:tc>
          <w:tcPr>
            <w:tcW w:w="6735" w:type="dxa"/>
            <w:vAlign w:val="center"/>
          </w:tcPr>
          <w:p w14:paraId="649DB42E">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European Child &amp; Adolescent Psychiatry</w:t>
            </w:r>
          </w:p>
        </w:tc>
        <w:tc>
          <w:tcPr>
            <w:tcW w:w="1559" w:type="dxa"/>
            <w:vAlign w:val="center"/>
          </w:tcPr>
          <w:p w14:paraId="089F7B7E">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1018-8827</w:t>
            </w:r>
          </w:p>
        </w:tc>
      </w:tr>
      <w:tr w14:paraId="4EAA7A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6FB54BF0">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35</w:t>
            </w:r>
          </w:p>
        </w:tc>
        <w:tc>
          <w:tcPr>
            <w:tcW w:w="6735" w:type="dxa"/>
            <w:vAlign w:val="center"/>
          </w:tcPr>
          <w:p w14:paraId="712AC906">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Epidemiology and Psychiatric Sciences</w:t>
            </w:r>
          </w:p>
        </w:tc>
        <w:tc>
          <w:tcPr>
            <w:tcW w:w="1559" w:type="dxa"/>
            <w:vAlign w:val="center"/>
          </w:tcPr>
          <w:p w14:paraId="2414890B">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2045-7960</w:t>
            </w:r>
          </w:p>
        </w:tc>
      </w:tr>
      <w:tr w14:paraId="4FC581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6D36C650">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36</w:t>
            </w:r>
          </w:p>
        </w:tc>
        <w:tc>
          <w:tcPr>
            <w:tcW w:w="6735" w:type="dxa"/>
            <w:vAlign w:val="center"/>
          </w:tcPr>
          <w:p w14:paraId="04E8DFA6">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Journal of Clinical Psychiatry</w:t>
            </w:r>
          </w:p>
        </w:tc>
        <w:tc>
          <w:tcPr>
            <w:tcW w:w="1559" w:type="dxa"/>
            <w:vAlign w:val="center"/>
          </w:tcPr>
          <w:p w14:paraId="7CD00F66">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0160-6689</w:t>
            </w:r>
          </w:p>
        </w:tc>
      </w:tr>
      <w:tr w14:paraId="22802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498E66A7">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37</w:t>
            </w:r>
          </w:p>
        </w:tc>
        <w:tc>
          <w:tcPr>
            <w:tcW w:w="6735" w:type="dxa"/>
            <w:vAlign w:val="center"/>
          </w:tcPr>
          <w:p w14:paraId="222D55B1">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Child Abuse &amp; Neglect</w:t>
            </w:r>
          </w:p>
        </w:tc>
        <w:tc>
          <w:tcPr>
            <w:tcW w:w="1559" w:type="dxa"/>
            <w:vAlign w:val="center"/>
          </w:tcPr>
          <w:p w14:paraId="64180FD9">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0145-2134</w:t>
            </w:r>
          </w:p>
        </w:tc>
      </w:tr>
      <w:tr w14:paraId="5DB445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63FBA427">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38</w:t>
            </w:r>
          </w:p>
        </w:tc>
        <w:tc>
          <w:tcPr>
            <w:tcW w:w="6735" w:type="dxa"/>
            <w:vAlign w:val="center"/>
          </w:tcPr>
          <w:p w14:paraId="3D110C1C">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BMC Psychiatry</w:t>
            </w:r>
          </w:p>
        </w:tc>
        <w:tc>
          <w:tcPr>
            <w:tcW w:w="1559" w:type="dxa"/>
            <w:vAlign w:val="center"/>
          </w:tcPr>
          <w:p w14:paraId="2287708F">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1471-244X</w:t>
            </w:r>
          </w:p>
        </w:tc>
      </w:tr>
      <w:tr w14:paraId="362AE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5AFCAAF7">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39</w:t>
            </w:r>
          </w:p>
        </w:tc>
        <w:tc>
          <w:tcPr>
            <w:tcW w:w="6735" w:type="dxa"/>
            <w:vAlign w:val="center"/>
          </w:tcPr>
          <w:p w14:paraId="6CC7568F">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Journal of Anxiety Disorders</w:t>
            </w:r>
          </w:p>
        </w:tc>
        <w:tc>
          <w:tcPr>
            <w:tcW w:w="1559" w:type="dxa"/>
            <w:vAlign w:val="center"/>
          </w:tcPr>
          <w:p w14:paraId="44BBA0CD">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0887-6185</w:t>
            </w:r>
          </w:p>
        </w:tc>
      </w:tr>
      <w:tr w14:paraId="4959F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39" w:type="dxa"/>
            <w:vAlign w:val="center"/>
          </w:tcPr>
          <w:p w14:paraId="5FC0BBFC">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40</w:t>
            </w:r>
          </w:p>
        </w:tc>
        <w:tc>
          <w:tcPr>
            <w:tcW w:w="6735" w:type="dxa"/>
            <w:vAlign w:val="center"/>
          </w:tcPr>
          <w:p w14:paraId="41D2CB3D">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Depression and Anxiety</w:t>
            </w:r>
          </w:p>
        </w:tc>
        <w:tc>
          <w:tcPr>
            <w:tcW w:w="1559" w:type="dxa"/>
            <w:vAlign w:val="center"/>
          </w:tcPr>
          <w:p w14:paraId="12C8D08D">
            <w:pPr>
              <w:spacing w:before="118" w:line="226" w:lineRule="auto"/>
              <w:ind w:left="43" w:leftChars="0"/>
              <w:jc w:val="center"/>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1091-4269</w:t>
            </w:r>
          </w:p>
        </w:tc>
      </w:tr>
    </w:tbl>
    <w:p w14:paraId="47C12E2A">
      <w:pPr>
        <w:spacing w:line="360" w:lineRule="auto"/>
        <w:jc w:val="both"/>
        <w:rPr>
          <w:rFonts w:hint="eastAsia" w:ascii="宋体" w:hAnsi="宋体" w:eastAsia="宋体" w:cs="宋体"/>
          <w:sz w:val="32"/>
          <w:szCs w:val="32"/>
          <w:highlight w:val="none"/>
        </w:rPr>
      </w:pPr>
    </w:p>
    <w:sectPr>
      <w:headerReference r:id="rId8" w:type="default"/>
      <w:footerReference r:id="rId9" w:type="default"/>
      <w:pgSz w:w="11907" w:h="16839"/>
      <w:pgMar w:top="1431" w:right="1735" w:bottom="1362" w:left="1785" w:header="0" w:footer="1202"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58E9458-44FA-49EB-A5A0-61C49D48EDD0}"/>
  </w:font>
  <w:font w:name="黑体">
    <w:panose1 w:val="02010609060101010101"/>
    <w:charset w:val="86"/>
    <w:family w:val="auto"/>
    <w:pitch w:val="default"/>
    <w:sig w:usb0="800002BF" w:usb1="38CF7CFA" w:usb2="00000016" w:usb3="00000000" w:csb0="00040001" w:csb1="00000000"/>
    <w:embedRegular r:id="rId2" w:fontKey="{C09ACCCB-FB90-4D22-98C1-73A8CD526D8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3" w:fontKey="{A1522884-D7D4-40ED-8520-83425682C128}"/>
  </w:font>
  <w:font w:name="楷体">
    <w:panose1 w:val="02010609060101010101"/>
    <w:charset w:val="86"/>
    <w:family w:val="auto"/>
    <w:pitch w:val="default"/>
    <w:sig w:usb0="800002BF" w:usb1="38CF7CFA" w:usb2="00000016" w:usb3="00000000" w:csb0="00040001" w:csb1="00000000"/>
    <w:embedRegular r:id="rId4" w:fontKey="{9ADBBBB9-8248-4EB4-B724-DAC712C67553}"/>
  </w:font>
  <w:font w:name="方正小标宋简体">
    <w:panose1 w:val="02000000000000000000"/>
    <w:charset w:val="86"/>
    <w:family w:val="auto"/>
    <w:pitch w:val="default"/>
    <w:sig w:usb0="00000001" w:usb1="08000000" w:usb2="00000000" w:usb3="00000000" w:csb0="00040000" w:csb1="00000000"/>
    <w:embedRegular r:id="rId5" w:fontKey="{E7DACCF4-B65E-4F0E-B967-A9C8C028E5B2}"/>
  </w:font>
  <w:font w:name="方正仿宋_GB2312">
    <w:panose1 w:val="02000000000000000000"/>
    <w:charset w:val="86"/>
    <w:family w:val="auto"/>
    <w:pitch w:val="default"/>
    <w:sig w:usb0="A00002BF" w:usb1="184F6CFA" w:usb2="00000012" w:usb3="00000000" w:csb0="00040001" w:csb1="00000000"/>
    <w:embedRegular r:id="rId6" w:fontKey="{85F2FA9A-0E6E-4222-90CF-A4C462F22E80}"/>
  </w:font>
  <w:font w:name="WPSEMBED1">
    <w:panose1 w:val="02000000000000000000"/>
    <w:charset w:val="86"/>
    <w:family w:val="auto"/>
    <w:pitch w:val="default"/>
    <w:sig w:usb0="00000001" w:usb1="08000000" w:usb2="00000000" w:usb3="00000000" w:csb0="00040000" w:csb1="00000000"/>
  </w:font>
  <w:font w:name="WPSEMBED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C0D81B">
    <w:pPr>
      <w:spacing w:line="174" w:lineRule="auto"/>
      <w:ind w:left="453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27993F">
                          <w:pPr>
                            <w:pStyle w:val="6"/>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727993F">
                    <w:pPr>
                      <w:pStyle w:val="6"/>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FADE2">
    <w:pPr>
      <w:spacing w:line="174" w:lineRule="auto"/>
      <w:ind w:left="450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C6E21C">
                          <w:pPr>
                            <w:pStyle w:val="6"/>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18</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EC6E21C">
                    <w:pPr>
                      <w:pStyle w:val="6"/>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18</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BC2378">
    <w:pPr>
      <w:spacing w:line="174" w:lineRule="auto"/>
      <w:ind w:left="470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2FEA9A">
                          <w:pPr>
                            <w:pStyle w:val="6"/>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24</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C2FEA9A">
                    <w:pPr>
                      <w:pStyle w:val="6"/>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24</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73344">
    <w:pPr>
      <w:spacing w:line="174" w:lineRule="auto"/>
      <w:ind w:left="409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883DD7">
                          <w:pPr>
                            <w:pStyle w:val="6"/>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36</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4883DD7">
                    <w:pPr>
                      <w:pStyle w:val="6"/>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36</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596EA">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ZjFmZWIzNDg2MmIzZjExOTIzMmViNTBmYTMwYTk0ZWYifQ=="/>
  </w:docVars>
  <w:rsids>
    <w:rsidRoot w:val="00000000"/>
    <w:rsid w:val="00320BE2"/>
    <w:rsid w:val="02B97306"/>
    <w:rsid w:val="0304067F"/>
    <w:rsid w:val="049D5915"/>
    <w:rsid w:val="0670611D"/>
    <w:rsid w:val="0C2364EA"/>
    <w:rsid w:val="0C661B31"/>
    <w:rsid w:val="0DCC602F"/>
    <w:rsid w:val="0E213113"/>
    <w:rsid w:val="0F4D75A3"/>
    <w:rsid w:val="110C6396"/>
    <w:rsid w:val="11EE1558"/>
    <w:rsid w:val="11F12DFD"/>
    <w:rsid w:val="124D5D37"/>
    <w:rsid w:val="144227CC"/>
    <w:rsid w:val="144E4FF5"/>
    <w:rsid w:val="162E2871"/>
    <w:rsid w:val="171F05FA"/>
    <w:rsid w:val="188977EB"/>
    <w:rsid w:val="1AD75107"/>
    <w:rsid w:val="1CD41A49"/>
    <w:rsid w:val="279E589F"/>
    <w:rsid w:val="2A4E3457"/>
    <w:rsid w:val="2B357971"/>
    <w:rsid w:val="2F9E23BE"/>
    <w:rsid w:val="35692203"/>
    <w:rsid w:val="3B2946DF"/>
    <w:rsid w:val="3BAB6342"/>
    <w:rsid w:val="3FCE4A74"/>
    <w:rsid w:val="40F3468D"/>
    <w:rsid w:val="41AA074E"/>
    <w:rsid w:val="4517041B"/>
    <w:rsid w:val="463D7DE3"/>
    <w:rsid w:val="485A3624"/>
    <w:rsid w:val="498236F2"/>
    <w:rsid w:val="4EEA1AD9"/>
    <w:rsid w:val="51C81201"/>
    <w:rsid w:val="5452714F"/>
    <w:rsid w:val="549332C4"/>
    <w:rsid w:val="5582138A"/>
    <w:rsid w:val="56312D95"/>
    <w:rsid w:val="574046BE"/>
    <w:rsid w:val="58A57E7F"/>
    <w:rsid w:val="5AEA7DF5"/>
    <w:rsid w:val="5B24736C"/>
    <w:rsid w:val="5D3A352A"/>
    <w:rsid w:val="60E2733F"/>
    <w:rsid w:val="62703D01"/>
    <w:rsid w:val="63395FCE"/>
    <w:rsid w:val="64836EB1"/>
    <w:rsid w:val="66EE0C64"/>
    <w:rsid w:val="69B45116"/>
    <w:rsid w:val="6CF3094C"/>
    <w:rsid w:val="6DBD2EE3"/>
    <w:rsid w:val="6E723A13"/>
    <w:rsid w:val="6F194230"/>
    <w:rsid w:val="71F928AF"/>
    <w:rsid w:val="74051691"/>
    <w:rsid w:val="78C0202A"/>
    <w:rsid w:val="7BDF0A19"/>
    <w:rsid w:val="7D5176F5"/>
    <w:rsid w:val="7F2044B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360" w:lineRule="auto"/>
      <w:jc w:val="left"/>
      <w:textAlignment w:val="baseline"/>
    </w:pPr>
    <w:rPr>
      <w:rFonts w:ascii="Arial" w:hAnsi="Arial" w:eastAsia="仿宋" w:cs="Arial"/>
      <w:snapToGrid w:val="0"/>
      <w:color w:val="000000"/>
      <w:kern w:val="0"/>
      <w:sz w:val="32"/>
      <w:szCs w:val="21"/>
      <w:lang w:val="en-US" w:eastAsia="en-US" w:bidi="ar-SA"/>
    </w:rPr>
  </w:style>
  <w:style w:type="paragraph" w:styleId="2">
    <w:name w:val="heading 1"/>
    <w:basedOn w:val="1"/>
    <w:next w:val="1"/>
    <w:link w:val="13"/>
    <w:qFormat/>
    <w:uiPriority w:val="0"/>
    <w:pPr>
      <w:keepNext/>
      <w:keepLines/>
      <w:widowControl w:val="0"/>
      <w:tabs>
        <w:tab w:val="left" w:pos="0"/>
        <w:tab w:val="left" w:pos="1418"/>
      </w:tabs>
      <w:kinsoku/>
      <w:autoSpaceDE/>
      <w:autoSpaceDN/>
      <w:adjustRightInd/>
      <w:snapToGrid/>
      <w:spacing w:beforeLines="0" w:afterLines="0" w:line="360" w:lineRule="auto"/>
      <w:ind w:firstLine="643" w:firstLineChars="200"/>
      <w:jc w:val="both"/>
      <w:textAlignment w:val="auto"/>
      <w:outlineLvl w:val="0"/>
    </w:pPr>
    <w:rPr>
      <w:rFonts w:ascii="宋体" w:hAnsi="宋体" w:eastAsia="黑体" w:cs="宋体"/>
      <w:snapToGrid/>
      <w:kern w:val="44"/>
      <w:sz w:val="32"/>
      <w:szCs w:val="24"/>
      <w:highlight w:val="none"/>
      <w:lang w:eastAsia="zh-CN"/>
    </w:rPr>
  </w:style>
  <w:style w:type="paragraph" w:styleId="3">
    <w:name w:val="heading 2"/>
    <w:basedOn w:val="4"/>
    <w:next w:val="1"/>
    <w:link w:val="14"/>
    <w:unhideWhenUsed/>
    <w:qFormat/>
    <w:uiPriority w:val="0"/>
    <w:pPr>
      <w:spacing w:line="360" w:lineRule="auto"/>
      <w:ind w:left="0"/>
      <w:outlineLvl w:val="1"/>
    </w:pPr>
    <w:rPr>
      <w:rFonts w:eastAsia="楷体"/>
      <w:snapToGrid/>
      <w:kern w:val="44"/>
      <w:highlight w:val="none"/>
      <w:lang w:eastAsia="zh-CN"/>
    </w:rPr>
  </w:style>
  <w:style w:type="character" w:default="1" w:styleId="10">
    <w:name w:val="Default Paragraph Font"/>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link w:val="15"/>
    <w:qFormat/>
    <w:uiPriority w:val="0"/>
    <w:pPr>
      <w:ind w:left="0" w:leftChars="0"/>
    </w:pPr>
    <w:rPr>
      <w:rFonts w:ascii="宋体" w:hAnsi="宋体" w:cs="宋体"/>
      <w:szCs w:val="24"/>
    </w:rPr>
  </w:style>
  <w:style w:type="paragraph" w:styleId="5">
    <w:name w:val="annotation text"/>
    <w:basedOn w:val="1"/>
    <w:qFormat/>
    <w:uiPriority w:val="0"/>
    <w:pPr>
      <w:jc w:val="left"/>
    </w:pPr>
  </w:style>
  <w:style w:type="paragraph" w:styleId="6">
    <w:name w:val="footer"/>
    <w:basedOn w:val="1"/>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9">
    <w:name w:val="Table Grid"/>
    <w:basedOn w:val="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Table Text"/>
    <w:basedOn w:val="1"/>
    <w:semiHidden/>
    <w:qFormat/>
    <w:uiPriority w:val="0"/>
    <w:rPr>
      <w:rFonts w:ascii="宋体" w:hAnsi="宋体" w:eastAsia="宋体" w:cs="宋体"/>
      <w:sz w:val="24"/>
      <w:szCs w:val="24"/>
      <w:lang w:val="en-US" w:eastAsia="en-US" w:bidi="ar-SA"/>
    </w:rPr>
  </w:style>
  <w:style w:type="character" w:customStyle="1" w:styleId="13">
    <w:name w:val="标题 1 Char"/>
    <w:link w:val="2"/>
    <w:qFormat/>
    <w:uiPriority w:val="0"/>
    <w:rPr>
      <w:rFonts w:ascii="宋体" w:hAnsi="宋体" w:eastAsia="黑体" w:cs="宋体"/>
      <w:snapToGrid/>
      <w:kern w:val="44"/>
      <w:sz w:val="32"/>
      <w:szCs w:val="24"/>
      <w:highlight w:val="none"/>
      <w:lang w:eastAsia="zh-CN"/>
    </w:rPr>
  </w:style>
  <w:style w:type="character" w:customStyle="1" w:styleId="14">
    <w:name w:val="标题 2 Char"/>
    <w:link w:val="3"/>
    <w:qFormat/>
    <w:uiPriority w:val="0"/>
    <w:rPr>
      <w:rFonts w:eastAsia="楷体"/>
      <w:snapToGrid/>
      <w:kern w:val="44"/>
      <w:sz w:val="32"/>
      <w:highlight w:val="none"/>
      <w:lang w:eastAsia="zh-CN"/>
    </w:rPr>
  </w:style>
  <w:style w:type="character" w:customStyle="1" w:styleId="15">
    <w:name w:val="正文文本 Char"/>
    <w:link w:val="4"/>
    <w:qFormat/>
    <w:uiPriority w:val="0"/>
    <w:rPr>
      <w:rFonts w:ascii="宋体" w:hAnsi="宋体" w:eastAsia="仿宋" w:cs="宋体"/>
      <w:sz w:val="32"/>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35</Pages>
  <Words>12432</Words>
  <Characters>15792</Characters>
  <TotalTime>5</TotalTime>
  <ScaleCrop>false</ScaleCrop>
  <LinksUpToDate>false</LinksUpToDate>
  <CharactersWithSpaces>16032</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2023-10-17T06:38:00Z</dcterms:created>
  <dc:creator>User</dc:creator>
  <cp:lastModifiedBy>膨胀东</cp:lastModifiedBy>
  <dcterms:modified xsi:type="dcterms:W3CDTF">2026-09-04T07:37:59Z</dcterms:modified>
  <dc:title>华南师范大学计算机学院学生学年评优条例</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2024-08-29T12:35:14Z</vt:filetime>
  </property>
  <property fmtid="{D5CDD505-2E9C-101B-9397-08002B2CF9AE}" pid="4" name="KSOProductBuildVer">
    <vt:lpwstr>2052-12.1.0.28505</vt:lpwstr>
  </property>
  <property fmtid="{D5CDD505-2E9C-101B-9397-08002B2CF9AE}" pid="5" name="ICV">
    <vt:lpwstr>F4411C0F63934D998EE2E2FA6D55004D_13</vt:lpwstr>
  </property>
  <property fmtid="{D5CDD505-2E9C-101B-9397-08002B2CF9AE}" pid="6" name="KSOTemplateDocerSaveRecord">
    <vt:lpwstr>eyJoZGlkIjoiNWM2MTI1YmRmNTk0YjEyZDgyODg0MDYxZjYxZDE4NzYiLCJ1c2VySWQiOiIzNjgyNTY2MTkifQ==</vt:lpwstr>
  </property>
</Properties>
</file>