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rPr>
      </w:pPr>
      <w:r>
        <w:rPr>
          <w:rFonts w:hint="eastAsia"/>
          <w:b/>
          <w:sz w:val="28"/>
        </w:rPr>
        <w:t>附件1</w:t>
      </w:r>
      <w:r>
        <w:rPr>
          <w:b/>
          <w:sz w:val="28"/>
        </w:rPr>
        <w:t>.</w:t>
      </w:r>
      <w:r>
        <w:rPr>
          <w:rFonts w:hint="eastAsia"/>
          <w:b/>
          <w:sz w:val="28"/>
        </w:rPr>
        <w:t>“读懂生科发展，共话百年奋斗，争做时代新人”活动作品要求</w:t>
      </w:r>
    </w:p>
    <w:p>
      <w:pPr>
        <w:pStyle w:val="7"/>
        <w:ind w:left="720" w:firstLine="0" w:firstLineChars="0"/>
        <w:rPr>
          <w:rFonts w:ascii="仿宋" w:hAnsi="仿宋" w:eastAsia="仿宋"/>
          <w:b/>
          <w:sz w:val="28"/>
        </w:rPr>
      </w:pPr>
      <w:r>
        <w:rPr>
          <w:rFonts w:hint="eastAsia" w:ascii="仿宋" w:hAnsi="仿宋" w:eastAsia="仿宋"/>
          <w:b/>
          <w:sz w:val="28"/>
        </w:rPr>
        <w:t>一、内容要求</w:t>
      </w:r>
    </w:p>
    <w:p>
      <w:pPr>
        <w:pStyle w:val="7"/>
        <w:numPr>
          <w:ilvl w:val="0"/>
          <w:numId w:val="1"/>
        </w:numPr>
        <w:ind w:firstLineChars="0"/>
        <w:rPr>
          <w:rFonts w:ascii="仿宋" w:hAnsi="仿宋" w:eastAsia="仿宋"/>
          <w:sz w:val="28"/>
        </w:rPr>
      </w:pPr>
      <w:r>
        <w:rPr>
          <w:rFonts w:hint="eastAsia" w:ascii="仿宋" w:hAnsi="仿宋" w:eastAsia="仿宋"/>
          <w:sz w:val="28"/>
        </w:rPr>
        <w:t>紧扣主题</w:t>
      </w:r>
    </w:p>
    <w:p>
      <w:pPr>
        <w:ind w:firstLine="560" w:firstLineChars="200"/>
        <w:rPr>
          <w:rFonts w:ascii="仿宋" w:hAnsi="仿宋" w:eastAsia="仿宋"/>
          <w:sz w:val="28"/>
        </w:rPr>
      </w:pPr>
      <w:r>
        <w:rPr>
          <w:rFonts w:hint="eastAsia" w:ascii="仿宋" w:hAnsi="仿宋" w:eastAsia="仿宋"/>
          <w:sz w:val="28"/>
        </w:rPr>
        <w:t>要紧扣“读懂生科发展，共话百年奋斗，争做时代新人”深入挖掘、记录、展示、宣传“五老”中尤其是“杰出老校友”在党的百年奋斗历程、生科办学发展历程中的感人事迹和人生体验，以及对青年学生成长成才的重托和建议。</w:t>
      </w:r>
    </w:p>
    <w:p>
      <w:pPr>
        <w:pStyle w:val="7"/>
        <w:numPr>
          <w:ilvl w:val="0"/>
          <w:numId w:val="1"/>
        </w:numPr>
        <w:ind w:firstLineChars="0"/>
        <w:rPr>
          <w:rFonts w:ascii="仿宋" w:hAnsi="仿宋" w:eastAsia="仿宋"/>
          <w:sz w:val="28"/>
        </w:rPr>
      </w:pPr>
      <w:r>
        <w:rPr>
          <w:rFonts w:hint="eastAsia" w:ascii="仿宋" w:hAnsi="仿宋" w:eastAsia="仿宋"/>
          <w:sz w:val="28"/>
        </w:rPr>
        <w:t>主旨明确</w:t>
      </w:r>
    </w:p>
    <w:p>
      <w:pPr>
        <w:rPr>
          <w:rFonts w:ascii="仿宋" w:hAnsi="仿宋" w:eastAsia="仿宋"/>
          <w:sz w:val="28"/>
        </w:rPr>
      </w:pP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要从小处切入，以小见大，突出“五老”人物事迹，注重发现“最伟大的小事”、“最平凡的奇迹”、“最日常的奋斗和最具体的全面”，强调故事性和细节描述，以“五老”的个体经历反映出党的百年奋斗历程和伟大成就，反映出生物系向生命科学不断发展过程中的奋斗历程和显著成就，切忌写成“五老”个人简历。</w:t>
      </w:r>
    </w:p>
    <w:p>
      <w:pPr>
        <w:pStyle w:val="7"/>
        <w:numPr>
          <w:ilvl w:val="0"/>
          <w:numId w:val="1"/>
        </w:numPr>
        <w:ind w:firstLineChars="0"/>
        <w:rPr>
          <w:rFonts w:ascii="仿宋" w:hAnsi="仿宋" w:eastAsia="仿宋"/>
          <w:sz w:val="28"/>
        </w:rPr>
      </w:pPr>
      <w:r>
        <w:rPr>
          <w:rFonts w:hint="eastAsia" w:ascii="仿宋" w:hAnsi="仿宋" w:eastAsia="仿宋"/>
          <w:sz w:val="28"/>
        </w:rPr>
        <w:t>内容真实</w:t>
      </w:r>
    </w:p>
    <w:p>
      <w:pPr>
        <w:ind w:firstLine="555"/>
        <w:rPr>
          <w:rFonts w:ascii="仿宋" w:hAnsi="仿宋" w:eastAsia="仿宋"/>
          <w:sz w:val="28"/>
        </w:rPr>
      </w:pPr>
      <w:r>
        <w:rPr>
          <w:rFonts w:hint="eastAsia" w:ascii="仿宋" w:hAnsi="仿宋" w:eastAsia="仿宋"/>
          <w:sz w:val="28"/>
        </w:rPr>
        <w:t>记录的“五老”在作品制作时应健在，个人经历须真实可查，有相关资料证明。</w:t>
      </w:r>
    </w:p>
    <w:p>
      <w:pPr>
        <w:ind w:firstLine="555"/>
        <w:rPr>
          <w:rFonts w:ascii="仿宋" w:hAnsi="仿宋" w:eastAsia="仿宋"/>
          <w:b/>
          <w:sz w:val="28"/>
        </w:rPr>
      </w:pPr>
      <w:r>
        <w:rPr>
          <w:rFonts w:hint="eastAsia" w:ascii="仿宋" w:hAnsi="仿宋" w:eastAsia="仿宋"/>
          <w:b/>
          <w:sz w:val="28"/>
        </w:rPr>
        <w:t>二、其他要求</w:t>
      </w:r>
    </w:p>
    <w:p>
      <w:pPr>
        <w:ind w:firstLine="555"/>
        <w:rPr>
          <w:rFonts w:ascii="仿宋" w:hAnsi="仿宋" w:eastAsia="仿宋"/>
          <w:sz w:val="28"/>
        </w:rPr>
      </w:pPr>
      <w:r>
        <w:rPr>
          <w:rFonts w:hint="eastAsia" w:ascii="仿宋" w:hAnsi="仿宋" w:eastAsia="仿宋"/>
          <w:sz w:val="28"/>
        </w:rPr>
        <w:t>（一）征文作品</w:t>
      </w:r>
    </w:p>
    <w:p>
      <w:pPr>
        <w:ind w:firstLine="555"/>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文体要求：记叙文</w:t>
      </w:r>
    </w:p>
    <w:p>
      <w:pPr>
        <w:ind w:firstLine="555"/>
        <w:rPr>
          <w:rFonts w:ascii="仿宋" w:hAnsi="仿宋" w:eastAsia="仿宋"/>
          <w:sz w:val="28"/>
        </w:rPr>
      </w:pPr>
      <w:r>
        <w:rPr>
          <w:rFonts w:hint="eastAsia" w:ascii="仿宋" w:hAnsi="仿宋" w:eastAsia="仿宋"/>
          <w:sz w:val="28"/>
        </w:rPr>
        <w:t>2</w:t>
      </w:r>
      <w:r>
        <w:rPr>
          <w:rFonts w:ascii="仿宋" w:hAnsi="仿宋" w:eastAsia="仿宋"/>
          <w:sz w:val="28"/>
        </w:rPr>
        <w:t>.</w:t>
      </w:r>
      <w:r>
        <w:rPr>
          <w:rFonts w:hint="eastAsia" w:ascii="仿宋" w:hAnsi="仿宋" w:eastAsia="仿宋"/>
          <w:sz w:val="28"/>
        </w:rPr>
        <w:t>语言要求：通畅流利、表达清晰、可读性强</w:t>
      </w:r>
    </w:p>
    <w:p>
      <w:pPr>
        <w:ind w:firstLine="555"/>
        <w:rPr>
          <w:rFonts w:ascii="仿宋" w:hAnsi="仿宋" w:eastAsia="仿宋"/>
          <w:sz w:val="28"/>
        </w:rPr>
      </w:pPr>
      <w:r>
        <w:rPr>
          <w:rFonts w:ascii="仿宋" w:hAnsi="仿宋" w:eastAsia="仿宋"/>
          <w:sz w:val="28"/>
        </w:rPr>
        <w:t>3.</w:t>
      </w:r>
      <w:r>
        <w:rPr>
          <w:rFonts w:hint="eastAsia" w:ascii="仿宋" w:hAnsi="仿宋" w:eastAsia="仿宋"/>
          <w:sz w:val="28"/>
        </w:rPr>
        <w:t>字数要求：不超过2</w:t>
      </w:r>
      <w:r>
        <w:rPr>
          <w:rFonts w:ascii="仿宋" w:hAnsi="仿宋" w:eastAsia="仿宋"/>
          <w:sz w:val="28"/>
        </w:rPr>
        <w:t>000</w:t>
      </w:r>
      <w:r>
        <w:rPr>
          <w:rFonts w:hint="eastAsia" w:ascii="仿宋" w:hAnsi="仿宋" w:eastAsia="仿宋"/>
          <w:sz w:val="28"/>
        </w:rPr>
        <w:t>字</w:t>
      </w:r>
    </w:p>
    <w:p>
      <w:pPr>
        <w:ind w:firstLine="555"/>
        <w:rPr>
          <w:rFonts w:ascii="仿宋" w:hAnsi="仿宋" w:eastAsia="仿宋"/>
          <w:sz w:val="28"/>
        </w:rPr>
      </w:pPr>
      <w:r>
        <w:rPr>
          <w:rFonts w:hint="eastAsia" w:ascii="仿宋" w:hAnsi="仿宋" w:eastAsia="仿宋"/>
          <w:sz w:val="28"/>
        </w:rPr>
        <w:t>（二）微视频作品</w:t>
      </w:r>
    </w:p>
    <w:p>
      <w:pPr>
        <w:widowControl/>
        <w:spacing w:after="5" w:line="264" w:lineRule="auto"/>
        <w:ind w:right="119"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1.形态风格</w:t>
      </w:r>
    </w:p>
    <w:p>
      <w:pPr>
        <w:widowControl/>
        <w:spacing w:after="5" w:line="259" w:lineRule="auto"/>
        <w:ind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节目形态：</w:t>
      </w:r>
      <w:r>
        <w:rPr>
          <w:rFonts w:hint="eastAsia" w:ascii="仿宋" w:hAnsi="仿宋" w:eastAsia="仿宋" w:cs="宋体"/>
          <w:color w:val="000000"/>
          <w:kern w:val="0"/>
          <w:sz w:val="28"/>
          <w:szCs w:val="28"/>
        </w:rPr>
        <w:t>专题片、微纪录</w:t>
      </w:r>
    </w:p>
    <w:p>
      <w:pPr>
        <w:widowControl/>
        <w:spacing w:after="5" w:line="264" w:lineRule="auto"/>
        <w:ind w:right="215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视频格式：</w:t>
      </w:r>
      <w:r>
        <w:rPr>
          <w:rFonts w:hint="eastAsia" w:ascii="仿宋" w:hAnsi="仿宋" w:eastAsia="仿宋" w:cs="宋体"/>
          <w:color w:val="000000"/>
          <w:kern w:val="0"/>
          <w:sz w:val="28"/>
          <w:szCs w:val="28"/>
        </w:rPr>
        <w:t>MP4(不得低于15米码流）</w:t>
      </w:r>
    </w:p>
    <w:p>
      <w:pPr>
        <w:widowControl/>
        <w:spacing w:after="5" w:line="264" w:lineRule="auto"/>
        <w:ind w:right="215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视频标准：</w:t>
      </w:r>
      <w:r>
        <w:rPr>
          <w:rFonts w:hint="eastAsia" w:ascii="仿宋" w:hAnsi="仿宋" w:eastAsia="仿宋" w:cs="宋体"/>
          <w:color w:val="000000"/>
          <w:kern w:val="0"/>
          <w:sz w:val="28"/>
          <w:szCs w:val="28"/>
        </w:rPr>
        <w:t>1920 × 1080（无损高清格式）</w:t>
      </w:r>
    </w:p>
    <w:p>
      <w:pPr>
        <w:widowControl/>
        <w:spacing w:after="5" w:line="264" w:lineRule="auto"/>
        <w:ind w:right="12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节目风格：</w:t>
      </w:r>
      <w:r>
        <w:rPr>
          <w:rFonts w:hint="eastAsia" w:ascii="仿宋" w:hAnsi="仿宋" w:eastAsia="仿宋" w:cs="宋体"/>
          <w:color w:val="000000"/>
          <w:kern w:val="0"/>
          <w:sz w:val="28"/>
          <w:szCs w:val="28"/>
        </w:rPr>
        <w:t>用艺术手法拍摄制作校园专题片、微纪录等，画面构图完整清晰、镜头有设计感、拍摄手法丰富，故事内容真实有效。</w:t>
      </w:r>
    </w:p>
    <w:p>
      <w:pPr>
        <w:widowControl/>
        <w:spacing w:after="5" w:line="259" w:lineRule="auto"/>
        <w:ind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时间要求：</w:t>
      </w:r>
      <w:r>
        <w:rPr>
          <w:rFonts w:hint="eastAsia" w:ascii="仿宋" w:hAnsi="仿宋" w:eastAsia="仿宋" w:cs="宋体"/>
          <w:color w:val="000000"/>
          <w:kern w:val="0"/>
          <w:sz w:val="28"/>
          <w:szCs w:val="28"/>
        </w:rPr>
        <w:t>5分钟整</w:t>
      </w:r>
    </w:p>
    <w:p>
      <w:pPr>
        <w:widowControl/>
        <w:spacing w:after="5" w:line="264" w:lineRule="auto"/>
        <w:ind w:left="282" w:right="119" w:firstLine="28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2．拍摄要求</w:t>
      </w:r>
    </w:p>
    <w:p>
      <w:pPr>
        <w:widowControl/>
        <w:spacing w:after="51" w:line="259" w:lineRule="auto"/>
        <w:ind w:left="43" w:right="115"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应为受访者配戴无线话筒进行收音，切忌直接使用摄像机进行录音。</w:t>
      </w:r>
    </w:p>
    <w:p>
      <w:pPr>
        <w:widowControl/>
        <w:spacing w:after="50" w:line="264" w:lineRule="auto"/>
        <w:ind w:left="43" w:right="119"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摄像机使用前应调整白平衡，若是室外拍摄，每1.一2.小时应进行一次白平衡调整。</w:t>
      </w:r>
    </w:p>
    <w:p>
      <w:pPr>
        <w:widowControl/>
        <w:spacing w:after="5" w:line="264" w:lineRule="auto"/>
        <w:ind w:left="43" w:right="119"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pPr>
        <w:widowControl/>
        <w:spacing w:after="5" w:line="264" w:lineRule="auto"/>
        <w:ind w:left="183" w:right="119" w:firstLine="420"/>
        <w:rPr>
          <w:rFonts w:ascii="仿宋" w:hAnsi="仿宋" w:eastAsia="仿宋" w:cs="宋体"/>
          <w:color w:val="000000"/>
          <w:kern w:val="0"/>
          <w:sz w:val="28"/>
          <w:szCs w:val="28"/>
        </w:rPr>
      </w:pPr>
      <w:r>
        <w:rPr>
          <w:rFonts w:hint="eastAsia" w:ascii="仿宋" w:hAnsi="仿宋" w:eastAsia="仿宋" w:cs="宋体"/>
          <w:color w:val="000000"/>
          <w:kern w:val="0"/>
          <w:sz w:val="28"/>
          <w:szCs w:val="28"/>
        </w:rPr>
        <w:t>拍摄结束时，应多录几秒再停机，为剪辑留出余地。</w:t>
      </w:r>
    </w:p>
    <w:p>
      <w:pPr>
        <w:widowControl/>
        <w:spacing w:after="5" w:line="264" w:lineRule="auto"/>
        <w:ind w:right="119" w:firstLine="42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3．解说要求</w:t>
      </w:r>
    </w:p>
    <w:p>
      <w:pPr>
        <w:widowControl/>
        <w:spacing w:after="41" w:line="264" w:lineRule="auto"/>
        <w:ind w:left="43" w:right="119"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用直白的语言文字叙述；有起承转合，设置高潮或合理安排突出主题；贴近观众的心理，使其有身临其境的感觉。忌宣传片式解说词。</w:t>
      </w:r>
    </w:p>
    <w:p>
      <w:pPr>
        <w:widowControl/>
        <w:spacing w:after="67" w:line="264" w:lineRule="auto"/>
        <w:ind w:right="119" w:firstLine="42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4</w:t>
      </w:r>
      <w:r>
        <w:rPr>
          <w:rFonts w:ascii="仿宋" w:hAnsi="仿宋" w:eastAsia="仿宋" w:cs="宋体"/>
          <w:b/>
          <w:bCs/>
          <w:color w:val="000000"/>
          <w:kern w:val="0"/>
          <w:sz w:val="28"/>
          <w:szCs w:val="28"/>
        </w:rPr>
        <w:t>.</w:t>
      </w:r>
      <w:r>
        <w:rPr>
          <w:rFonts w:hint="eastAsia" w:ascii="仿宋" w:hAnsi="仿宋" w:eastAsia="仿宋" w:cs="宋体"/>
          <w:b/>
          <w:bCs/>
          <w:color w:val="000000"/>
          <w:kern w:val="0"/>
          <w:sz w:val="28"/>
          <w:szCs w:val="28"/>
        </w:rPr>
        <w:t>技术要求</w:t>
      </w:r>
    </w:p>
    <w:p>
      <w:pPr>
        <w:widowControl/>
        <w:spacing w:after="5"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画面要求：</w:t>
      </w:r>
      <w:r>
        <w:rPr>
          <w:rFonts w:hint="eastAsia" w:ascii="仿宋" w:hAnsi="仿宋" w:eastAsia="仿宋" w:cs="宋体"/>
          <w:color w:val="000000"/>
          <w:kern w:val="0"/>
          <w:sz w:val="28"/>
          <w:szCs w:val="28"/>
        </w:rPr>
        <w:t>统一为全高清（1 9 2 0 × 1 0 8 0）1 6：9制式，上下不要有黑遮幅；注意保持清晰、干净；有字幕。</w:t>
      </w:r>
    </w:p>
    <w:p>
      <w:pPr>
        <w:widowControl/>
        <w:spacing w:after="88"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音频要求：</w:t>
      </w:r>
      <w:r>
        <w:rPr>
          <w:rFonts w:hint="eastAsia" w:ascii="仿宋" w:hAnsi="仿宋" w:eastAsia="仿宋" w:cs="宋体"/>
          <w:color w:val="000000"/>
          <w:kern w:val="0"/>
          <w:sz w:val="28"/>
          <w:szCs w:val="28"/>
        </w:rPr>
        <w:t>节目声道分为1.声道（解说、同期声），2.声道（音乐、音效、动效）；最高电频不能超过“一8dB（VU）”</w:t>
      </w:r>
      <w:r>
        <w:rPr>
          <w:rFonts w:ascii="仿宋" w:hAnsi="仿宋" w:eastAsia="仿宋" w:cs="宋体"/>
          <w:color w:val="000000"/>
          <w:kern w:val="0"/>
          <w:sz w:val="28"/>
          <w:szCs w:val="28"/>
        </w:rPr>
        <w:drawing>
          <wp:inline distT="0" distB="0" distL="0" distR="0">
            <wp:extent cx="28575" cy="57150"/>
            <wp:effectExtent l="0" t="0" r="9525" b="0"/>
            <wp:docPr id="11" name="Picture 1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927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28575" cy="57150"/>
                    </a:xfrm>
                    <a:prstGeom prst="rect">
                      <a:avLst/>
                    </a:prstGeom>
                    <a:noFill/>
                    <a:ln>
                      <a:noFill/>
                    </a:ln>
                  </pic:spPr>
                </pic:pic>
              </a:graphicData>
            </a:graphic>
          </wp:inline>
        </w:drawing>
      </w:r>
      <w:r>
        <w:rPr>
          <w:rFonts w:hint="eastAsia" w:ascii="仿宋" w:hAnsi="仿宋" w:eastAsia="仿宋" w:cs="宋体"/>
          <w:color w:val="000000"/>
          <w:kern w:val="0"/>
          <w:sz w:val="28"/>
          <w:szCs w:val="28"/>
        </w:rPr>
        <w:t>最低电频不能低于“-12dB（VU）”</w:t>
      </w:r>
      <w:r>
        <w:rPr>
          <w:rFonts w:ascii="仿宋" w:hAnsi="仿宋" w:eastAsia="仿宋" w:cs="宋体"/>
          <w:color w:val="000000"/>
          <w:kern w:val="0"/>
          <w:sz w:val="28"/>
          <w:szCs w:val="28"/>
        </w:rPr>
        <w:drawing>
          <wp:inline distT="0" distB="0" distL="0" distR="0">
            <wp:extent cx="38100" cy="38100"/>
            <wp:effectExtent l="0" t="0" r="0" b="0"/>
            <wp:docPr id="12" name="Picture 1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927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38100" cy="38100"/>
                    </a:xfrm>
                    <a:prstGeom prst="rect">
                      <a:avLst/>
                    </a:prstGeom>
                    <a:noFill/>
                    <a:ln>
                      <a:noFill/>
                    </a:ln>
                  </pic:spPr>
                </pic:pic>
              </a:graphicData>
            </a:graphic>
          </wp:inline>
        </w:drawing>
      </w:r>
    </w:p>
    <w:p>
      <w:pPr>
        <w:widowControl/>
        <w:spacing w:after="79"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字幕要求：</w:t>
      </w:r>
      <w:r>
        <w:rPr>
          <w:rFonts w:hint="eastAsia" w:ascii="仿宋" w:hAnsi="仿宋" w:eastAsia="仿宋" w:cs="宋体"/>
          <w:color w:val="000000"/>
          <w:kern w:val="0"/>
          <w:sz w:val="28"/>
          <w:szCs w:val="28"/>
        </w:rPr>
        <w:t>对白、旁白和解说等均须加配中文字幕。用字准确无误，不使用繁体字、异体字、错别字；字幕位置居中，字体字号为黑体60号，字边要加阴影；字幕应与画面有良好的同步性。</w:t>
      </w:r>
    </w:p>
    <w:p>
      <w:pPr>
        <w:widowControl/>
        <w:spacing w:after="5"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资料运用：</w:t>
      </w:r>
      <w:r>
        <w:rPr>
          <w:rFonts w:hint="eastAsia" w:ascii="仿宋" w:hAnsi="仿宋" w:eastAsia="仿宋" w:cs="宋体"/>
          <w:color w:val="000000"/>
          <w:kern w:val="0"/>
          <w:sz w:val="28"/>
          <w:szCs w:val="28"/>
        </w:rPr>
        <w:t>片中一旦涉及到非本校拍摄、不属于拍摄团队创作的视频素材，一律要在画面右上角注明“资料"字样。“资料"字体字号为黑体65号，字边要加阴影。</w:t>
      </w:r>
    </w:p>
    <w:p>
      <w:pPr>
        <w:keepNext/>
        <w:widowControl/>
        <w:spacing w:after="4" w:line="256" w:lineRule="auto"/>
        <w:ind w:left="193" w:firstLine="412"/>
        <w:jc w:val="left"/>
        <w:outlineLvl w:val="1"/>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（三）舞台剧</w:t>
      </w:r>
    </w:p>
    <w:p>
      <w:pPr>
        <w:widowControl/>
        <w:spacing w:after="5" w:line="264" w:lineRule="auto"/>
        <w:ind w:left="183" w:right="119" w:firstLine="42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1．形态风格</w:t>
      </w:r>
    </w:p>
    <w:p>
      <w:pPr>
        <w:widowControl/>
        <w:spacing w:after="5" w:line="264" w:lineRule="auto"/>
        <w:ind w:left="43" w:right="119"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节目形态：</w:t>
      </w:r>
      <w:r>
        <w:rPr>
          <w:rFonts w:hint="eastAsia" w:ascii="仿宋" w:hAnsi="仿宋" w:eastAsia="仿宋" w:cs="宋体"/>
          <w:color w:val="000000"/>
          <w:kern w:val="0"/>
          <w:sz w:val="28"/>
          <w:szCs w:val="28"/>
        </w:rPr>
        <w:t>舞台剧。发动高校社团资源，根据“五老" 采访素材改编舞台剧，通过切换台进行多机位录制，剪辑成视频参与征集。</w:t>
      </w:r>
    </w:p>
    <w:p>
      <w:pPr>
        <w:widowControl/>
        <w:spacing w:after="5" w:line="264" w:lineRule="auto"/>
        <w:ind w:left="672" w:right="2175"/>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视频格式：</w:t>
      </w:r>
      <w:r>
        <w:rPr>
          <w:rFonts w:hint="eastAsia" w:ascii="仿宋" w:hAnsi="仿宋" w:eastAsia="仿宋" w:cs="宋体"/>
          <w:color w:val="000000"/>
          <w:kern w:val="0"/>
          <w:sz w:val="28"/>
          <w:szCs w:val="28"/>
        </w:rPr>
        <w:t>MP4(不得低于15M码流）</w:t>
      </w:r>
    </w:p>
    <w:p>
      <w:pPr>
        <w:widowControl/>
        <w:spacing w:after="5" w:line="264" w:lineRule="auto"/>
        <w:ind w:left="672" w:right="2175"/>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视频标准：</w:t>
      </w:r>
      <w:r>
        <w:rPr>
          <w:rFonts w:hint="eastAsia" w:ascii="仿宋" w:hAnsi="仿宋" w:eastAsia="仿宋" w:cs="宋体"/>
          <w:color w:val="000000"/>
          <w:kern w:val="0"/>
          <w:sz w:val="28"/>
          <w:szCs w:val="28"/>
        </w:rPr>
        <w:t>1920 × 1080（无损高清格式）</w:t>
      </w:r>
    </w:p>
    <w:p>
      <w:pPr>
        <w:widowControl/>
        <w:spacing w:after="58" w:line="257" w:lineRule="auto"/>
        <w:ind w:left="45" w:right="119" w:firstLine="562"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节目风格：</w:t>
      </w:r>
      <w:r>
        <w:rPr>
          <w:rFonts w:hint="eastAsia" w:ascii="仿宋" w:hAnsi="仿宋" w:eastAsia="仿宋" w:cs="宋体"/>
          <w:color w:val="000000"/>
          <w:kern w:val="0"/>
          <w:sz w:val="28"/>
          <w:szCs w:val="28"/>
        </w:rPr>
        <w:t>用艺术手法拍摄、制作校园舞台剧，画面构图完整清晰、镜头有设计感、拍摄手法丰富，故事内容真实有效。</w:t>
      </w:r>
    </w:p>
    <w:p>
      <w:pPr>
        <w:widowControl/>
        <w:spacing w:after="5" w:line="259" w:lineRule="auto"/>
        <w:ind w:left="187" w:right="115" w:firstLine="42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时长要求：</w:t>
      </w:r>
      <w:r>
        <w:rPr>
          <w:rFonts w:hint="eastAsia" w:ascii="仿宋" w:hAnsi="仿宋" w:eastAsia="仿宋" w:cs="宋体"/>
          <w:color w:val="000000"/>
          <w:kern w:val="0"/>
          <w:sz w:val="28"/>
          <w:szCs w:val="28"/>
        </w:rPr>
        <w:t>10分钟以内</w:t>
      </w:r>
    </w:p>
    <w:p>
      <w:pPr>
        <w:widowControl/>
        <w:spacing w:after="5" w:line="264" w:lineRule="auto"/>
        <w:ind w:left="183" w:right="119" w:firstLine="42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2．技术要求</w:t>
      </w:r>
    </w:p>
    <w:p>
      <w:pPr>
        <w:widowControl/>
        <w:spacing w:after="5" w:line="264" w:lineRule="auto"/>
        <w:ind w:left="43" w:right="119"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画面要求：</w:t>
      </w:r>
      <w:r>
        <w:rPr>
          <w:rFonts w:hint="eastAsia" w:ascii="仿宋" w:hAnsi="仿宋" w:eastAsia="仿宋" w:cs="宋体"/>
          <w:color w:val="000000"/>
          <w:kern w:val="0"/>
          <w:sz w:val="28"/>
          <w:szCs w:val="28"/>
        </w:rPr>
        <w:t>统一为全高清（1920 × 1080）16：9制式，上下不要有黑遮幅；注意保持清晰、干净；有字幕（黑体居中）。</w:t>
      </w:r>
    </w:p>
    <w:p>
      <w:pPr>
        <w:widowControl/>
        <w:spacing w:after="82"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音频要求：</w:t>
      </w:r>
      <w:r>
        <w:rPr>
          <w:rFonts w:hint="eastAsia" w:ascii="仿宋" w:hAnsi="仿宋" w:eastAsia="仿宋" w:cs="宋体"/>
          <w:color w:val="000000"/>
          <w:kern w:val="0"/>
          <w:sz w:val="28"/>
          <w:szCs w:val="28"/>
        </w:rPr>
        <w:t>节目声道分为1.声道（解说、同期声），2.声道（音乐、音效、动效）；最高电频不能超过“一8dB（VU）”</w:t>
      </w:r>
      <w:r>
        <w:rPr>
          <w:rFonts w:ascii="仿宋" w:hAnsi="仿宋" w:eastAsia="仿宋" w:cs="宋体"/>
          <w:color w:val="000000"/>
          <w:kern w:val="0"/>
          <w:sz w:val="28"/>
          <w:szCs w:val="28"/>
        </w:rPr>
        <w:drawing>
          <wp:inline distT="0" distB="0" distL="0" distR="0">
            <wp:extent cx="28575" cy="47625"/>
            <wp:effectExtent l="0" t="0" r="9525" b="9525"/>
            <wp:docPr id="13" name="Picture 2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112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a:xfrm>
                      <a:off x="0" y="0"/>
                      <a:ext cx="28575" cy="47625"/>
                    </a:xfrm>
                    <a:prstGeom prst="rect">
                      <a:avLst/>
                    </a:prstGeom>
                    <a:noFill/>
                    <a:ln>
                      <a:noFill/>
                    </a:ln>
                  </pic:spPr>
                </pic:pic>
              </a:graphicData>
            </a:graphic>
          </wp:inline>
        </w:drawing>
      </w:r>
      <w:r>
        <w:rPr>
          <w:rFonts w:hint="eastAsia" w:ascii="仿宋" w:hAnsi="仿宋" w:eastAsia="仿宋" w:cs="宋体"/>
          <w:color w:val="000000"/>
          <w:kern w:val="0"/>
          <w:sz w:val="28"/>
          <w:szCs w:val="28"/>
        </w:rPr>
        <w:t>最低电频不能低于“-12dB（VU）”</w:t>
      </w:r>
      <w:r>
        <w:rPr>
          <w:rFonts w:ascii="仿宋" w:hAnsi="仿宋" w:eastAsia="仿宋" w:cs="宋体"/>
          <w:color w:val="000000"/>
          <w:kern w:val="0"/>
          <w:sz w:val="28"/>
          <w:szCs w:val="28"/>
        </w:rPr>
        <w:drawing>
          <wp:inline distT="0" distB="0" distL="0" distR="0">
            <wp:extent cx="38100" cy="38100"/>
            <wp:effectExtent l="0" t="0" r="0" b="0"/>
            <wp:docPr id="14" name="Picture 2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12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a:xfrm>
                      <a:off x="0" y="0"/>
                      <a:ext cx="38100" cy="38100"/>
                    </a:xfrm>
                    <a:prstGeom prst="rect">
                      <a:avLst/>
                    </a:prstGeom>
                    <a:noFill/>
                    <a:ln>
                      <a:noFill/>
                    </a:ln>
                  </pic:spPr>
                </pic:pic>
              </a:graphicData>
            </a:graphic>
          </wp:inline>
        </w:drawing>
      </w:r>
    </w:p>
    <w:p>
      <w:pPr>
        <w:widowControl/>
        <w:spacing w:after="5" w:line="259" w:lineRule="auto"/>
        <w:ind w:left="43" w:right="115" w:firstLine="562" w:firstLineChars="200"/>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字幕要求：</w:t>
      </w:r>
      <w:r>
        <w:rPr>
          <w:rFonts w:hint="eastAsia" w:ascii="仿宋" w:hAnsi="仿宋" w:eastAsia="仿宋" w:cs="宋体"/>
          <w:color w:val="000000"/>
          <w:kern w:val="0"/>
          <w:sz w:val="28"/>
          <w:szCs w:val="28"/>
        </w:rPr>
        <w:t>对白、旁白和解说等均须加配中文字幕。用字准确无误，不使用繁体字、异体字、错别字；字幕位置居中，字体字号为黑体60号，字边要加阴影；字幕应与画面有良好的同步性。</w:t>
      </w:r>
    </w:p>
    <w:p>
      <w:pPr>
        <w:widowControl/>
        <w:spacing w:after="4" w:line="256" w:lineRule="auto"/>
        <w:ind w:left="33" w:firstLine="560" w:firstLineChars="200"/>
        <w:jc w:val="left"/>
        <w:rPr>
          <w:rFonts w:ascii="仿宋" w:hAnsi="仿宋" w:eastAsia="仿宋" w:cs="宋体"/>
          <w:color w:val="000000"/>
          <w:kern w:val="0"/>
          <w:sz w:val="28"/>
          <w:szCs w:val="28"/>
        </w:rPr>
      </w:pPr>
    </w:p>
    <w:p>
      <w:pPr>
        <w:widowControl/>
        <w:spacing w:after="4" w:line="256" w:lineRule="auto"/>
        <w:ind w:left="33"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br w:type="page"/>
      </w:r>
    </w:p>
    <w:p>
      <w:pPr>
        <w:widowControl/>
        <w:spacing w:after="4" w:line="256" w:lineRule="auto"/>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附件2.</w:t>
      </w:r>
    </w:p>
    <w:p>
      <w:pPr>
        <w:widowControl/>
        <w:spacing w:line="256" w:lineRule="auto"/>
        <w:ind w:left="10" w:right="1382" w:firstLine="562" w:firstLineChars="200"/>
        <w:jc w:val="righ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“读懂</w:t>
      </w:r>
      <w:r>
        <w:rPr>
          <w:rFonts w:hint="eastAsia" w:ascii="仿宋" w:hAnsi="仿宋" w:eastAsia="仿宋" w:cs="宋体"/>
          <w:b/>
          <w:bCs/>
          <w:color w:val="000000"/>
          <w:kern w:val="0"/>
          <w:sz w:val="28"/>
          <w:szCs w:val="28"/>
          <w:lang w:eastAsia="zh-CN"/>
        </w:rPr>
        <w:t>生科</w:t>
      </w:r>
      <w:r>
        <w:rPr>
          <w:rFonts w:hint="eastAsia" w:ascii="仿宋" w:hAnsi="仿宋" w:eastAsia="仿宋" w:cs="宋体"/>
          <w:b/>
          <w:bCs/>
          <w:color w:val="000000"/>
          <w:kern w:val="0"/>
          <w:sz w:val="28"/>
          <w:szCs w:val="28"/>
        </w:rPr>
        <w:t>"活动作品评审参考标准</w:t>
      </w:r>
    </w:p>
    <w:p>
      <w:pPr>
        <w:widowControl/>
        <w:spacing w:line="256" w:lineRule="auto"/>
        <w:ind w:left="10" w:right="1382" w:firstLine="562" w:firstLineChars="200"/>
        <w:jc w:val="right"/>
        <w:rPr>
          <w:rFonts w:ascii="仿宋" w:hAnsi="仿宋" w:eastAsia="仿宋" w:cs="宋体"/>
          <w:b/>
          <w:bCs/>
          <w:color w:val="000000"/>
          <w:kern w:val="0"/>
          <w:sz w:val="28"/>
          <w:szCs w:val="28"/>
        </w:rPr>
      </w:pPr>
    </w:p>
    <w:p>
      <w:pPr>
        <w:widowControl/>
        <w:numPr>
          <w:ilvl w:val="0"/>
          <w:numId w:val="2"/>
        </w:numPr>
        <w:spacing w:after="160" w:line="256" w:lineRule="auto"/>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征文评审标准（总分100分）</w:t>
      </w:r>
    </w:p>
    <w:tbl>
      <w:tblPr>
        <w:tblStyle w:val="10"/>
        <w:tblW w:w="8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紧扣主题、立意明确</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记录、展示“五老"在党的百年奋斗历程中以及在生科院的发展历程中的感人事迹和人生体验，以及对青年学生成长成才的重托和建议。若偏题酌情扣分。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内容详实、表述得当</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突出“五老"人物事迹，强调故事性和细节描述，以“五老"的个体经历反映出党的百年奋斗历程和伟大成就，以及在生科院的发展历程，切忌写</w:t>
            </w:r>
            <w:bookmarkStart w:id="0" w:name="_GoBack"/>
            <w:bookmarkEnd w:id="0"/>
            <w:r>
              <w:rPr>
                <w:rFonts w:hint="eastAsia" w:ascii="仿宋" w:hAnsi="仿宋" w:eastAsia="仿宋" w:cs="宋体"/>
                <w:color w:val="000000"/>
                <w:kern w:val="0"/>
                <w:sz w:val="28"/>
                <w:szCs w:val="28"/>
              </w:rPr>
              <w:t>成“五老" 个人简历。根据文章实际情况酌情赋分。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语言优美、文笔流畅（20分）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根据文章实际情况酌情赋分。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情感真实、表达细腻（20分）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根据文章实际情况酌情赋分。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36"/>
                <w:sz w:val="28"/>
                <w:szCs w:val="28"/>
              </w:rPr>
            </w:pPr>
            <w:r>
              <w:rPr>
                <w:rFonts w:hint="eastAsia" w:ascii="仿宋" w:hAnsi="仿宋" w:eastAsia="仿宋" w:cs="宋体"/>
                <w:b/>
                <w:bCs/>
                <w:color w:val="000000"/>
                <w:kern w:val="0"/>
                <w:sz w:val="28"/>
                <w:szCs w:val="28"/>
              </w:rPr>
              <w:t>文体合规、用字规范（10分）</w:t>
            </w:r>
          </w:p>
        </w:tc>
        <w:tc>
          <w:tcPr>
            <w:tcW w:w="5426" w:type="dxa"/>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文体为记叙文，字数不超过2000字。文体有误或字数超过2400字即此项为0分，字数在 2001-2400字之间或出现不规范用字的酌情扣分。</w:t>
            </w:r>
          </w:p>
        </w:tc>
      </w:tr>
    </w:tbl>
    <w:p>
      <w:pPr>
        <w:widowControl/>
        <w:spacing w:after="160" w:line="256" w:lineRule="auto"/>
        <w:jc w:val="left"/>
        <w:rPr>
          <w:rFonts w:ascii="仿宋" w:hAnsi="仿宋" w:eastAsia="仿宋" w:cs="宋体"/>
          <w:b/>
          <w:bCs/>
          <w:color w:val="000000"/>
          <w:kern w:val="0"/>
          <w:sz w:val="28"/>
          <w:szCs w:val="28"/>
        </w:rPr>
      </w:pPr>
    </w:p>
    <w:p>
      <w:pPr>
        <w:widowControl/>
        <w:numPr>
          <w:ilvl w:val="0"/>
          <w:numId w:val="2"/>
        </w:numPr>
        <w:spacing w:after="160" w:line="256" w:lineRule="auto"/>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微视频评审标准（总分100分）</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主题表达</w:t>
            </w:r>
          </w:p>
          <w:p>
            <w:pPr>
              <w:widowControl/>
              <w:spacing w:after="160" w:line="256" w:lineRule="auto"/>
              <w:jc w:val="center"/>
              <w:rPr>
                <w:rFonts w:ascii="Calibri" w:hAnsi="Calibri" w:eastAsia="宋体" w:cs="宋体"/>
                <w:b/>
                <w:bCs/>
                <w:color w:val="000000"/>
                <w:kern w:val="0"/>
                <w:sz w:val="22"/>
                <w:szCs w:val="20"/>
              </w:rPr>
            </w:pPr>
            <w:r>
              <w:rPr>
                <w:rFonts w:hint="eastAsia" w:ascii="仿宋" w:hAnsi="仿宋" w:eastAsia="仿宋" w:cs="宋体"/>
                <w:b/>
                <w:bCs/>
                <w:color w:val="000000"/>
                <w:kern w:val="0"/>
                <w:sz w:val="28"/>
                <w:szCs w:val="28"/>
              </w:rPr>
              <w:t>（30分）</w:t>
            </w:r>
          </w:p>
        </w:tc>
        <w:tc>
          <w:tcPr>
            <w:tcW w:w="5426" w:type="dxa"/>
          </w:tcPr>
          <w:p>
            <w:pPr>
              <w:widowControl/>
              <w:spacing w:after="160" w:line="256" w:lineRule="auto"/>
              <w:jc w:val="left"/>
              <w:rPr>
                <w:rFonts w:ascii="Calibri" w:hAnsi="Calibri" w:eastAsia="宋体" w:cs="宋体"/>
                <w:b/>
                <w:bCs/>
                <w:color w:val="000000"/>
                <w:kern w:val="0"/>
                <w:sz w:val="22"/>
                <w:szCs w:val="20"/>
              </w:rPr>
            </w:pPr>
            <w:r>
              <w:rPr>
                <w:rFonts w:hint="eastAsia" w:ascii="仿宋" w:hAnsi="仿宋" w:eastAsia="仿宋" w:cs="宋体"/>
                <w:color w:val="000000"/>
                <w:kern w:val="0"/>
                <w:sz w:val="28"/>
                <w:szCs w:val="28"/>
              </w:rPr>
              <w:t>记录、展示“五老"在党的百年奋斗历程中以及在生科院的发展历程中的感人事迹和人生体验，以及对青年学生成长成才的重托和建议。突出“五老"人物事迹，强调故事性和细节描述，以“五老"的个体经历反映出党的百年奋斗历程和伟大成就以及生科院的发展历程。切忌拍摄成“五老"个人简历。根据片子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结构设置</w:t>
            </w:r>
          </w:p>
          <w:p>
            <w:pPr>
              <w:widowControl/>
              <w:spacing w:after="160" w:line="256" w:lineRule="auto"/>
              <w:jc w:val="center"/>
              <w:rPr>
                <w:rFonts w:ascii="Calibri" w:hAnsi="Calibri" w:eastAsia="宋体" w:cs="宋体"/>
                <w:b/>
                <w:bCs/>
                <w:color w:val="000000"/>
                <w:kern w:val="0"/>
                <w:sz w:val="22"/>
                <w:szCs w:val="20"/>
              </w:rPr>
            </w:pPr>
            <w:r>
              <w:rPr>
                <w:rFonts w:hint="eastAsia" w:ascii="仿宋" w:hAnsi="仿宋" w:eastAsia="仿宋" w:cs="宋体"/>
                <w:b/>
                <w:bCs/>
                <w:color w:val="000000"/>
                <w:kern w:val="0"/>
                <w:sz w:val="28"/>
                <w:szCs w:val="28"/>
              </w:rPr>
              <w:t>（20分）</w:t>
            </w:r>
          </w:p>
        </w:tc>
        <w:tc>
          <w:tcPr>
            <w:tcW w:w="5426" w:type="dxa"/>
          </w:tcPr>
          <w:p>
            <w:pPr>
              <w:widowControl/>
              <w:spacing w:after="160" w:line="256" w:lineRule="auto"/>
              <w:jc w:val="left"/>
              <w:rPr>
                <w:rFonts w:ascii="Calibri" w:hAnsi="Calibri" w:eastAsia="宋体" w:cs="宋体"/>
                <w:b/>
                <w:bCs/>
                <w:color w:val="000000"/>
                <w:kern w:val="0"/>
                <w:sz w:val="22"/>
                <w:szCs w:val="20"/>
              </w:rPr>
            </w:pPr>
            <w:r>
              <w:rPr>
                <w:rFonts w:hint="eastAsia" w:ascii="仿宋" w:hAnsi="仿宋" w:eastAsia="仿宋" w:cs="宋体"/>
                <w:color w:val="000000"/>
                <w:kern w:val="0"/>
                <w:sz w:val="28"/>
                <w:szCs w:val="28"/>
              </w:rPr>
              <w:t>结构明确、逻辑清晰，悬念设置精彩且自能够突出主题、吸引观众。根据片子实际情况酌情赋分。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细节和节奏</w:t>
            </w:r>
          </w:p>
          <w:p>
            <w:pPr>
              <w:widowControl/>
              <w:spacing w:after="160" w:line="256" w:lineRule="auto"/>
              <w:jc w:val="center"/>
              <w:rPr>
                <w:rFonts w:ascii="Calibri" w:hAnsi="Calibri" w:eastAsia="宋体" w:cs="宋体"/>
                <w:b/>
                <w:bCs/>
                <w:color w:val="000000"/>
                <w:kern w:val="0"/>
                <w:sz w:val="22"/>
                <w:szCs w:val="20"/>
              </w:rPr>
            </w:pPr>
            <w:r>
              <w:rPr>
                <w:rFonts w:hint="eastAsia" w:ascii="仿宋" w:hAnsi="仿宋" w:eastAsia="仿宋" w:cs="宋体"/>
                <w:b/>
                <w:bCs/>
                <w:color w:val="000000"/>
                <w:kern w:val="0"/>
                <w:sz w:val="28"/>
                <w:szCs w:val="28"/>
              </w:rPr>
              <w:t>（20分）</w:t>
            </w:r>
          </w:p>
        </w:tc>
        <w:tc>
          <w:tcPr>
            <w:tcW w:w="5426" w:type="dxa"/>
          </w:tcPr>
          <w:p>
            <w:pPr>
              <w:widowControl/>
              <w:spacing w:after="160" w:line="256" w:lineRule="auto"/>
              <w:jc w:val="left"/>
              <w:rPr>
                <w:rFonts w:ascii="Calibri" w:hAnsi="Calibri" w:eastAsia="宋体" w:cs="宋体"/>
                <w:b/>
                <w:bCs/>
                <w:color w:val="000000"/>
                <w:kern w:val="0"/>
                <w:sz w:val="22"/>
                <w:szCs w:val="20"/>
              </w:rPr>
            </w:pPr>
            <w:r>
              <w:rPr>
                <w:rFonts w:hint="eastAsia" w:ascii="仿宋" w:hAnsi="仿宋" w:eastAsia="仿宋" w:cs="宋体"/>
                <w:color w:val="000000"/>
                <w:kern w:val="0"/>
                <w:sz w:val="28"/>
                <w:szCs w:val="28"/>
              </w:rPr>
              <w:t>调和统一，不突兀；节奏严密且活泼，变化精巧且错落有致；细节运用真实生动，有较强的艺术感染力；画面构图、特效、字幕、片头片尾、暗转等包装处理得当。根据片子实际情况酌情赋分。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电视语言表达</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（20分）</w:t>
            </w:r>
          </w:p>
        </w:tc>
        <w:tc>
          <w:tcPr>
            <w:tcW w:w="5426" w:type="dxa"/>
          </w:tcPr>
          <w:p>
            <w:pPr>
              <w:widowControl/>
              <w:spacing w:after="160" w:line="256"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画面语言生动且富有特色，能够吸引观众眼球、表达出拍摄主体的内在情绪、心理及表现行为等；解说语言为画面服务，且起到补充和画龙点睛作用；现场语言如采访等，出现时间合适且有对主题阐释等作用，能够很好地渲染影片；字幕语言能够调动观众兴趣，令人印象深刻。电视语言单一，无法讲清事件，无法使观众明白要表达的内容和思想感情的酌情扣分。根据片子实际情况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剪接和时长</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（10分）</w:t>
            </w:r>
          </w:p>
        </w:tc>
        <w:tc>
          <w:tcPr>
            <w:tcW w:w="5426" w:type="dxa"/>
          </w:tcPr>
          <w:p>
            <w:pPr>
              <w:widowControl/>
              <w:spacing w:after="160" w:line="256"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根据影片结构划分篇章结构；镜头衔接自然流畅，转换符合整体节奏，有自己的风格特色，思维逻辑独树一格。如出现跳帧、黑屏等重大技术失误，或时长超过6.分钟，该项即为0分；时长在5.一6.分钟的酌情扣分。根据片子实际情况酌情赋分。</w:t>
            </w:r>
          </w:p>
        </w:tc>
      </w:tr>
    </w:tbl>
    <w:p>
      <w:pPr>
        <w:widowControl/>
        <w:spacing w:after="160" w:line="256" w:lineRule="auto"/>
        <w:jc w:val="left"/>
        <w:rPr>
          <w:rFonts w:ascii="Calibri" w:hAnsi="Calibri" w:eastAsia="宋体" w:cs="宋体"/>
          <w:b/>
          <w:bCs/>
          <w:color w:val="000000"/>
          <w:kern w:val="0"/>
          <w:sz w:val="22"/>
        </w:rPr>
      </w:pPr>
    </w:p>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三、舞台剧评审标准（总分1</w:t>
      </w:r>
      <w:r>
        <w:rPr>
          <w:rFonts w:ascii="仿宋" w:hAnsi="仿宋" w:eastAsia="仿宋" w:cs="宋体"/>
          <w:b/>
          <w:bCs/>
          <w:color w:val="000000"/>
          <w:kern w:val="0"/>
          <w:sz w:val="28"/>
          <w:szCs w:val="28"/>
        </w:rPr>
        <w:t>00</w:t>
      </w:r>
      <w:r>
        <w:rPr>
          <w:rFonts w:hint="eastAsia" w:ascii="仿宋" w:hAnsi="仿宋" w:eastAsia="仿宋" w:cs="宋体"/>
          <w:b/>
          <w:bCs/>
          <w:color w:val="000000"/>
          <w:kern w:val="0"/>
          <w:sz w:val="28"/>
          <w:szCs w:val="28"/>
        </w:rPr>
        <w:t>分</w:t>
      </w:r>
      <w:r>
        <w:rPr>
          <w:rFonts w:ascii="仿宋" w:hAnsi="仿宋" w:eastAsia="仿宋" w:cs="宋体"/>
          <w:b/>
          <w:bCs/>
          <w:color w:val="000000"/>
          <w:kern w:val="0"/>
          <w:sz w:val="28"/>
          <w:szCs w:val="28"/>
        </w:rPr>
        <w:t>）</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主题表达</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（30分）</w:t>
            </w:r>
          </w:p>
        </w:tc>
        <w:tc>
          <w:tcPr>
            <w:tcW w:w="5426" w:type="dxa"/>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记录、展示“五老"在党的百年奋斗历程中以及在生科院的发展历程中的感人事迹和人生体验，以及对青年学生成长成才的重托和建议。主题鲜明，贴近生活，有深度，引起观众共鸣。若偏题酌情扣分。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内容设置</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基于人物事迹，从小点切入，以小见大；剧情编排合理，情节跌宕起伏，矛盾冲突明显；幕与幕之间转换适当。根据剧情设计酌情赋分。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舞台表演</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（20分）</w:t>
            </w:r>
          </w:p>
        </w:tc>
        <w:tc>
          <w:tcPr>
            <w:tcW w:w="5426" w:type="dxa"/>
            <w:vAlign w:val="center"/>
          </w:tcPr>
          <w:p>
            <w:pPr>
              <w:widowControl/>
              <w:spacing w:after="160" w:line="256" w:lineRule="auto"/>
              <w:jc w:val="left"/>
              <w:rPr>
                <w:rFonts w:ascii="仿宋" w:hAnsi="仿宋" w:eastAsia="仿宋" w:cs="宋体"/>
                <w:b/>
                <w:bCs/>
                <w:color w:val="000000"/>
                <w:kern w:val="0"/>
                <w:sz w:val="28"/>
                <w:szCs w:val="28"/>
              </w:rPr>
            </w:pPr>
            <w:r>
              <w:rPr>
                <w:rFonts w:hint="eastAsia" w:ascii="仿宋" w:hAnsi="仿宋" w:eastAsia="仿宋" w:cs="宋体"/>
                <w:color w:val="000000"/>
                <w:kern w:val="0"/>
                <w:sz w:val="28"/>
                <w:szCs w:val="28"/>
              </w:rPr>
              <w:t>突出艺术设计与表现力，主题表现清晰，人物性格表现充分，动作得体到位，情感细腻有共鸣，团体合作默契。根据表演酌情赋分。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舞台呈现</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（20分）</w:t>
            </w:r>
          </w:p>
        </w:tc>
        <w:tc>
          <w:tcPr>
            <w:tcW w:w="5426" w:type="dxa"/>
          </w:tcPr>
          <w:p>
            <w:pPr>
              <w:widowControl/>
              <w:spacing w:after="160" w:line="256"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服装符合人物身份特点、合体大方，饰物搭配得当，辅助表现人物性格、剧情效果等；场景布置及道具安排准确反映剧目表达内容及环境。根据视觉效果酌情赋分。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widowControl/>
              <w:spacing w:line="256" w:lineRule="auto"/>
              <w:ind w:right="26"/>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视频录制</w:t>
            </w:r>
          </w:p>
          <w:p>
            <w:pPr>
              <w:widowControl/>
              <w:spacing w:after="160" w:line="256" w:lineRule="auto"/>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（10分）</w:t>
            </w:r>
          </w:p>
        </w:tc>
        <w:tc>
          <w:tcPr>
            <w:tcW w:w="5426" w:type="dxa"/>
          </w:tcPr>
          <w:p>
            <w:pPr>
              <w:widowControl/>
              <w:spacing w:after="160" w:line="256"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通过切换台进行多机位录制，有不同景别的搭配（远景、全景、中景、近景、特写）；配戴无线话筒对演员进行收音，且声音清晰；背景音乐符合剧情及气氛需要。根据视频呈现酌情赋分。</w:t>
            </w:r>
          </w:p>
        </w:tc>
      </w:tr>
    </w:tbl>
    <w:p>
      <w:pPr>
        <w:widowControl/>
        <w:spacing w:after="160" w:line="256" w:lineRule="auto"/>
        <w:jc w:val="left"/>
        <w:rPr>
          <w:rFonts w:ascii="仿宋" w:hAnsi="仿宋" w:eastAsia="仿宋" w:cs="宋体"/>
          <w:b/>
          <w:bCs/>
          <w:color w:val="000000"/>
          <w:kern w:val="0"/>
          <w:sz w:val="28"/>
          <w:szCs w:val="28"/>
        </w:rPr>
      </w:pPr>
    </w:p>
    <w:p>
      <w:pPr>
        <w:widowControl/>
        <w:spacing w:line="256" w:lineRule="auto"/>
        <w:ind w:left="-1685" w:right="10085" w:firstLine="560" w:firstLineChars="200"/>
        <w:jc w:val="left"/>
        <w:rPr>
          <w:rFonts w:ascii="仿宋" w:hAnsi="仿宋" w:eastAsia="仿宋" w:cs="宋体"/>
          <w:color w:val="000000"/>
          <w:kern w:val="0"/>
          <w:sz w:val="28"/>
          <w:szCs w:val="28"/>
        </w:rPr>
      </w:pPr>
    </w:p>
    <w:p>
      <w:pPr>
        <w:widowControl/>
        <w:spacing w:line="256" w:lineRule="auto"/>
        <w:ind w:left="68" w:right="125"/>
        <w:jc w:val="left"/>
        <w:rPr>
          <w:rFonts w:ascii="仿宋" w:hAnsi="仿宋" w:eastAsia="仿宋" w:cs="宋体"/>
          <w:color w:val="000000"/>
          <w:kern w:val="0"/>
          <w:sz w:val="28"/>
          <w:szCs w:val="28"/>
        </w:rPr>
        <w:sectPr>
          <w:headerReference r:id="rId3" w:type="default"/>
          <w:headerReference r:id="rId4" w:type="even"/>
          <w:pgSz w:w="11900" w:h="16840"/>
          <w:pgMar w:top="1366" w:right="1949" w:bottom="1157" w:left="1685" w:header="851" w:footer="992" w:gutter="0"/>
          <w:cols w:space="425" w:num="1"/>
          <w:docGrid w:linePitch="312" w:charSpace="0"/>
        </w:sectPr>
      </w:pPr>
      <w:r>
        <w:rPr>
          <w:rFonts w:ascii="仿宋" w:hAnsi="仿宋" w:eastAsia="仿宋" w:cs="宋体"/>
          <w:color w:val="000000"/>
          <w:kern w:val="0"/>
          <w:sz w:val="28"/>
          <w:szCs w:val="28"/>
        </w:rPr>
        <w:br w:type="page"/>
      </w:r>
    </w:p>
    <w:p>
      <w:pPr>
        <w:widowControl/>
        <w:spacing w:line="256" w:lineRule="auto"/>
        <w:ind w:left="68" w:right="125"/>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附件3</w:t>
      </w:r>
    </w:p>
    <w:p>
      <w:pPr>
        <w:widowControl/>
        <w:spacing w:line="256" w:lineRule="auto"/>
        <w:ind w:left="68"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“读懂生科”活动推荐作品信息表</w:t>
      </w:r>
    </w:p>
    <w:p>
      <w:pPr>
        <w:widowControl/>
        <w:spacing w:line="256" w:lineRule="auto"/>
        <w:ind w:left="68" w:right="125"/>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xml:space="preserve">填报单位：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填报人及联系电话：</w:t>
      </w:r>
    </w:p>
    <w:tbl>
      <w:tblPr>
        <w:tblStyle w:val="1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2361"/>
        <w:gridCol w:w="2361"/>
        <w:gridCol w:w="2366"/>
        <w:gridCol w:w="2362"/>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学校名称</w:t>
            </w:r>
          </w:p>
        </w:tc>
        <w:tc>
          <w:tcPr>
            <w:tcW w:w="2384"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作品类别</w:t>
            </w:r>
          </w:p>
        </w:tc>
        <w:tc>
          <w:tcPr>
            <w:tcW w:w="2384"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作品名称</w:t>
            </w:r>
          </w:p>
        </w:tc>
        <w:tc>
          <w:tcPr>
            <w:tcW w:w="2385"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受访“五老”</w:t>
            </w:r>
          </w:p>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姓名</w:t>
            </w:r>
          </w:p>
        </w:tc>
        <w:tc>
          <w:tcPr>
            <w:tcW w:w="2385"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作者</w:t>
            </w:r>
          </w:p>
        </w:tc>
        <w:tc>
          <w:tcPr>
            <w:tcW w:w="2385" w:type="dxa"/>
          </w:tcPr>
          <w:p>
            <w:pPr>
              <w:widowControl/>
              <w:spacing w:line="256" w:lineRule="auto"/>
              <w:ind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4"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c>
          <w:tcPr>
            <w:tcW w:w="2385" w:type="dxa"/>
          </w:tcPr>
          <w:p>
            <w:pPr>
              <w:widowControl/>
              <w:spacing w:line="256" w:lineRule="auto"/>
              <w:ind w:right="125"/>
              <w:jc w:val="center"/>
              <w:rPr>
                <w:rFonts w:ascii="仿宋" w:hAnsi="仿宋" w:eastAsia="仿宋" w:cs="宋体"/>
                <w:b/>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4" w:type="dxa"/>
          </w:tcPr>
          <w:p>
            <w:pPr>
              <w:widowControl/>
              <w:spacing w:line="256" w:lineRule="auto"/>
              <w:ind w:right="125"/>
              <w:jc w:val="center"/>
              <w:rPr>
                <w:rFonts w:ascii="仿宋" w:hAnsi="仿宋" w:eastAsia="仿宋" w:cs="宋体"/>
                <w:color w:val="000000"/>
                <w:kern w:val="0"/>
                <w:sz w:val="32"/>
                <w:szCs w:val="32"/>
              </w:rPr>
            </w:pPr>
          </w:p>
        </w:tc>
        <w:tc>
          <w:tcPr>
            <w:tcW w:w="2384" w:type="dxa"/>
          </w:tcPr>
          <w:p>
            <w:pPr>
              <w:widowControl/>
              <w:spacing w:line="256" w:lineRule="auto"/>
              <w:ind w:right="125"/>
              <w:jc w:val="center"/>
              <w:rPr>
                <w:rFonts w:ascii="仿宋" w:hAnsi="仿宋" w:eastAsia="仿宋" w:cs="宋体"/>
                <w:color w:val="000000"/>
                <w:kern w:val="0"/>
                <w:sz w:val="32"/>
                <w:szCs w:val="32"/>
              </w:rPr>
            </w:pPr>
          </w:p>
        </w:tc>
        <w:tc>
          <w:tcPr>
            <w:tcW w:w="2384" w:type="dxa"/>
          </w:tcPr>
          <w:p>
            <w:pPr>
              <w:widowControl/>
              <w:spacing w:line="256" w:lineRule="auto"/>
              <w:ind w:right="125"/>
              <w:jc w:val="center"/>
              <w:rPr>
                <w:rFonts w:ascii="仿宋" w:hAnsi="仿宋" w:eastAsia="仿宋" w:cs="宋体"/>
                <w:color w:val="000000"/>
                <w:kern w:val="0"/>
                <w:sz w:val="32"/>
                <w:szCs w:val="32"/>
              </w:rPr>
            </w:pPr>
          </w:p>
        </w:tc>
        <w:tc>
          <w:tcPr>
            <w:tcW w:w="2385" w:type="dxa"/>
          </w:tcPr>
          <w:p>
            <w:pPr>
              <w:widowControl/>
              <w:spacing w:line="256" w:lineRule="auto"/>
              <w:ind w:right="125"/>
              <w:jc w:val="center"/>
              <w:rPr>
                <w:rFonts w:ascii="仿宋" w:hAnsi="仿宋" w:eastAsia="仿宋" w:cs="宋体"/>
                <w:color w:val="000000"/>
                <w:kern w:val="0"/>
                <w:sz w:val="32"/>
                <w:szCs w:val="32"/>
              </w:rPr>
            </w:pPr>
          </w:p>
        </w:tc>
        <w:tc>
          <w:tcPr>
            <w:tcW w:w="2385" w:type="dxa"/>
          </w:tcPr>
          <w:p>
            <w:pPr>
              <w:widowControl/>
              <w:spacing w:line="256" w:lineRule="auto"/>
              <w:ind w:right="125"/>
              <w:jc w:val="center"/>
              <w:rPr>
                <w:rFonts w:ascii="仿宋" w:hAnsi="仿宋" w:eastAsia="仿宋" w:cs="宋体"/>
                <w:color w:val="000000"/>
                <w:kern w:val="0"/>
                <w:sz w:val="32"/>
                <w:szCs w:val="32"/>
              </w:rPr>
            </w:pPr>
          </w:p>
        </w:tc>
        <w:tc>
          <w:tcPr>
            <w:tcW w:w="2385" w:type="dxa"/>
          </w:tcPr>
          <w:p>
            <w:pPr>
              <w:widowControl/>
              <w:spacing w:line="256" w:lineRule="auto"/>
              <w:ind w:right="125"/>
              <w:jc w:val="center"/>
              <w:rPr>
                <w:rFonts w:ascii="仿宋" w:hAnsi="仿宋" w:eastAsia="仿宋" w:cs="宋体"/>
                <w:color w:val="000000"/>
                <w:kern w:val="0"/>
                <w:sz w:val="32"/>
                <w:szCs w:val="32"/>
              </w:rPr>
            </w:pPr>
          </w:p>
        </w:tc>
      </w:tr>
    </w:tbl>
    <w:p>
      <w:pPr>
        <w:widowControl/>
        <w:spacing w:line="256" w:lineRule="auto"/>
        <w:ind w:left="68" w:right="125"/>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说明：</w:t>
      </w:r>
      <w:r>
        <w:rPr>
          <w:rFonts w:hint="eastAsia" w:ascii="仿宋" w:hAnsi="仿宋" w:eastAsia="仿宋" w:cs="宋体"/>
          <w:color w:val="000000"/>
          <w:kern w:val="0"/>
          <w:sz w:val="32"/>
          <w:szCs w:val="32"/>
        </w:rPr>
        <w:t>作品类别为征文、微视频、舞台剧，作者、指导教师请按顺序一次填写具体人员姓名。</w:t>
      </w:r>
    </w:p>
    <w:p>
      <w:pPr>
        <w:widowControl/>
        <w:spacing w:line="256" w:lineRule="auto"/>
        <w:ind w:left="-1440" w:right="10460"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br w:type="textWrapping" w:clear="all"/>
      </w:r>
    </w:p>
    <w:p>
      <w:pPr>
        <w:widowControl/>
        <w:spacing w:line="256" w:lineRule="auto"/>
        <w:ind w:left="68" w:right="125"/>
        <w:jc w:val="left"/>
        <w:rPr>
          <w:rFonts w:ascii="仿宋" w:hAnsi="仿宋" w:eastAsia="仿宋" w:cs="宋体"/>
          <w:b/>
          <w:bCs/>
          <w:color w:val="000000"/>
          <w:kern w:val="0"/>
          <w:sz w:val="32"/>
          <w:szCs w:val="32"/>
        </w:rPr>
      </w:pPr>
      <w:r>
        <w:rPr>
          <w:rFonts w:ascii="仿宋" w:hAnsi="仿宋" w:eastAsia="仿宋" w:cs="宋体"/>
          <w:color w:val="000000"/>
          <w:kern w:val="0"/>
          <w:sz w:val="28"/>
          <w:szCs w:val="28"/>
        </w:rPr>
        <w:br w:type="page"/>
      </w:r>
      <w:r>
        <w:rPr>
          <w:rFonts w:hint="eastAsia" w:ascii="仿宋" w:hAnsi="仿宋" w:eastAsia="仿宋" w:cs="宋体"/>
          <w:b/>
          <w:bCs/>
          <w:color w:val="000000"/>
          <w:kern w:val="0"/>
          <w:sz w:val="32"/>
          <w:szCs w:val="32"/>
        </w:rPr>
        <w:t>附件</w:t>
      </w:r>
      <w:r>
        <w:rPr>
          <w:rFonts w:ascii="仿宋" w:hAnsi="仿宋" w:eastAsia="仿宋" w:cs="宋体"/>
          <w:b/>
          <w:bCs/>
          <w:color w:val="000000"/>
          <w:kern w:val="0"/>
          <w:sz w:val="32"/>
          <w:szCs w:val="32"/>
        </w:rPr>
        <w:t>4</w:t>
      </w:r>
    </w:p>
    <w:p>
      <w:pPr>
        <w:widowControl/>
        <w:spacing w:line="256" w:lineRule="auto"/>
        <w:ind w:left="68" w:right="125"/>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“读懂生科</w:t>
      </w:r>
      <w:r>
        <w:rPr>
          <w:rFonts w:ascii="仿宋" w:hAnsi="仿宋" w:eastAsia="仿宋" w:cs="宋体"/>
          <w:b/>
          <w:bCs/>
          <w:color w:val="000000"/>
          <w:kern w:val="0"/>
          <w:sz w:val="32"/>
          <w:szCs w:val="32"/>
        </w:rPr>
        <w:t>”</w:t>
      </w:r>
      <w:r>
        <w:rPr>
          <w:rFonts w:hint="eastAsia" w:ascii="仿宋" w:hAnsi="仿宋" w:eastAsia="仿宋" w:cs="宋体"/>
          <w:b/>
          <w:bCs/>
          <w:color w:val="000000"/>
          <w:kern w:val="0"/>
          <w:sz w:val="32"/>
          <w:szCs w:val="32"/>
        </w:rPr>
        <w:t>活动开展情况统计表</w:t>
      </w:r>
    </w:p>
    <w:p>
      <w:pPr>
        <w:widowControl/>
        <w:spacing w:line="256" w:lineRule="auto"/>
        <w:ind w:left="68" w:right="125"/>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 xml:space="preserve">填报单位： </w:t>
      </w: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填报人及联系电话：</w:t>
      </w:r>
    </w:p>
    <w:tbl>
      <w:tblPr>
        <w:tblStyle w:val="1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22"/>
        <w:gridCol w:w="1622"/>
        <w:gridCol w:w="1764"/>
        <w:gridCol w:w="1622"/>
        <w:gridCol w:w="1622"/>
        <w:gridCol w:w="1433"/>
        <w:gridCol w:w="143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1"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学校名称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院系数量</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开展院系数量</w:t>
            </w:r>
          </w:p>
        </w:tc>
        <w:tc>
          <w:tcPr>
            <w:tcW w:w="1771"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被受访“五老”人数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主创团队学生人数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受益学生人数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征文收集数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微视频收集数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舞台剧收集数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77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77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3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77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r>
    </w:tbl>
    <w:p>
      <w:pPr>
        <w:widowControl/>
        <w:spacing w:line="256" w:lineRule="auto"/>
        <w:ind w:left="68" w:right="125"/>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说明：</w:t>
      </w:r>
      <w:r>
        <w:rPr>
          <w:rFonts w:hint="eastAsia" w:ascii="仿宋" w:hAnsi="仿宋" w:eastAsia="仿宋" w:cs="宋体"/>
          <w:color w:val="000000"/>
          <w:kern w:val="0"/>
          <w:sz w:val="32"/>
          <w:szCs w:val="32"/>
        </w:rPr>
        <w:t>学校包括省属院校及当地其他部委所属高校。主创团队学生指实际参与作品创作的学生，受益学生指通过活动受到教育和影响的学生。</w:t>
      </w:r>
    </w:p>
    <w:p>
      <w:pPr>
        <w:widowControl/>
        <w:spacing w:line="256" w:lineRule="auto"/>
        <w:ind w:left="-1440" w:right="10460" w:firstLine="560" w:firstLineChars="200"/>
        <w:jc w:val="left"/>
        <w:rPr>
          <w:rFonts w:ascii="仿宋" w:hAnsi="仿宋" w:eastAsia="仿宋" w:cs="宋体"/>
          <w:color w:val="000000"/>
          <w:kern w:val="0"/>
          <w:sz w:val="28"/>
          <w:szCs w:val="28"/>
        </w:rPr>
      </w:pPr>
      <w:r>
        <w:rPr>
          <w:rFonts w:ascii="仿宋" w:hAnsi="仿宋" w:eastAsia="仿宋" w:cs="宋体"/>
          <w:color w:val="000000"/>
          <w:kern w:val="0"/>
          <w:sz w:val="28"/>
          <w:szCs w:val="28"/>
        </w:rPr>
        <w:br w:type="textWrapping" w:clear="all"/>
      </w:r>
    </w:p>
    <w:p>
      <w:pPr>
        <w:jc w:val="center"/>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“读懂生科</w:t>
      </w:r>
      <w:r>
        <w:rPr>
          <w:rFonts w:ascii="仿宋" w:hAnsi="仿宋" w:eastAsia="仿宋" w:cs="宋体"/>
          <w:b/>
          <w:bCs/>
          <w:color w:val="000000"/>
          <w:kern w:val="0"/>
          <w:sz w:val="32"/>
          <w:szCs w:val="32"/>
        </w:rPr>
        <w:t>”</w:t>
      </w:r>
      <w:r>
        <w:rPr>
          <w:rFonts w:hint="eastAsia" w:ascii="仿宋" w:hAnsi="仿宋" w:eastAsia="仿宋" w:cs="宋体"/>
          <w:b/>
          <w:bCs/>
          <w:color w:val="000000"/>
          <w:kern w:val="0"/>
          <w:sz w:val="32"/>
          <w:szCs w:val="32"/>
        </w:rPr>
        <w:t>活动开展情况统计表（教育部直属高校）</w:t>
      </w:r>
    </w:p>
    <w:p>
      <w:pPr>
        <w:widowControl/>
        <w:spacing w:line="256" w:lineRule="auto"/>
        <w:ind w:right="125"/>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填报人及联系电话：</w:t>
      </w:r>
    </w:p>
    <w:tbl>
      <w:tblPr>
        <w:tblStyle w:val="10"/>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3"/>
        <w:gridCol w:w="1622"/>
        <w:gridCol w:w="1622"/>
        <w:gridCol w:w="1764"/>
        <w:gridCol w:w="1622"/>
        <w:gridCol w:w="1622"/>
        <w:gridCol w:w="1433"/>
        <w:gridCol w:w="143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学校名称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院系数量</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开展院系数量</w:t>
            </w:r>
          </w:p>
        </w:tc>
        <w:tc>
          <w:tcPr>
            <w:tcW w:w="1771"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被受访“五老”人数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主创团队学生人数</w:t>
            </w:r>
          </w:p>
        </w:tc>
        <w:tc>
          <w:tcPr>
            <w:tcW w:w="1630"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受益学生人数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征文收集数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微视频收集数</w:t>
            </w:r>
          </w:p>
        </w:tc>
        <w:tc>
          <w:tcPr>
            <w:tcW w:w="1439" w:type="dxa"/>
          </w:tcPr>
          <w:p>
            <w:pPr>
              <w:widowControl/>
              <w:spacing w:line="256" w:lineRule="auto"/>
              <w:ind w:right="125"/>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舞台剧收集数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771"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630"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c>
          <w:tcPr>
            <w:tcW w:w="1439" w:type="dxa"/>
          </w:tcPr>
          <w:p>
            <w:pPr>
              <w:widowControl/>
              <w:spacing w:line="256" w:lineRule="auto"/>
              <w:ind w:right="125"/>
              <w:jc w:val="center"/>
              <w:rPr>
                <w:rFonts w:ascii="仿宋" w:hAnsi="仿宋" w:eastAsia="仿宋" w:cs="宋体"/>
                <w:b/>
                <w:bCs/>
                <w:color w:val="000000"/>
                <w:kern w:val="0"/>
                <w:sz w:val="28"/>
                <w:szCs w:val="28"/>
              </w:rPr>
            </w:pPr>
          </w:p>
        </w:tc>
      </w:tr>
    </w:tbl>
    <w:p>
      <w:pPr>
        <w:widowControl/>
        <w:spacing w:line="256" w:lineRule="auto"/>
        <w:ind w:left="68" w:right="125"/>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说明：</w:t>
      </w:r>
      <w:r>
        <w:rPr>
          <w:rFonts w:hint="eastAsia" w:ascii="仿宋" w:hAnsi="仿宋" w:eastAsia="仿宋" w:cs="宋体"/>
          <w:color w:val="000000"/>
          <w:kern w:val="0"/>
          <w:sz w:val="32"/>
          <w:szCs w:val="32"/>
        </w:rPr>
        <w:t xml:space="preserve">主创团队学生指实际参与作品创作的学生，受益学生指通过活动受到教育和影响的学生。 </w:t>
      </w:r>
    </w:p>
    <w:p>
      <w:pPr>
        <w:ind w:firstLine="555"/>
        <w:rPr>
          <w:rFonts w:ascii="仿宋" w:hAnsi="仿宋" w:eastAsia="仿宋"/>
          <w:sz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835FD"/>
    <w:multiLevelType w:val="multilevel"/>
    <w:tmpl w:val="119835FD"/>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780C4502"/>
    <w:multiLevelType w:val="multilevel"/>
    <w:tmpl w:val="780C4502"/>
    <w:lvl w:ilvl="0" w:tentative="0">
      <w:start w:val="1"/>
      <w:numFmt w:val="japaneseCounting"/>
      <w:lvlText w:val="%1、"/>
      <w:lvlJc w:val="left"/>
      <w:pPr>
        <w:ind w:left="460" w:hanging="460"/>
      </w:pPr>
      <w:rPr>
        <w:rFonts w:hint="default" w:ascii="Calibri" w:hAnsi="Calibri" w:eastAsia="宋体"/>
        <w:sz w:val="2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2D"/>
    <w:rsid w:val="000E0AC1"/>
    <w:rsid w:val="000E3DFF"/>
    <w:rsid w:val="00135856"/>
    <w:rsid w:val="0023441B"/>
    <w:rsid w:val="0023527D"/>
    <w:rsid w:val="00236D51"/>
    <w:rsid w:val="002868F6"/>
    <w:rsid w:val="00311FD7"/>
    <w:rsid w:val="00320BA1"/>
    <w:rsid w:val="0034217C"/>
    <w:rsid w:val="0034422E"/>
    <w:rsid w:val="005B6C8A"/>
    <w:rsid w:val="00606533"/>
    <w:rsid w:val="00857BD2"/>
    <w:rsid w:val="00872AF2"/>
    <w:rsid w:val="00886441"/>
    <w:rsid w:val="00993F23"/>
    <w:rsid w:val="00A41EC0"/>
    <w:rsid w:val="00A83523"/>
    <w:rsid w:val="00CE0F00"/>
    <w:rsid w:val="00DC76C7"/>
    <w:rsid w:val="00DD0618"/>
    <w:rsid w:val="00E74D8C"/>
    <w:rsid w:val="00EC19B2"/>
    <w:rsid w:val="00EF7A9E"/>
    <w:rsid w:val="00F04A75"/>
    <w:rsid w:val="00F3059E"/>
    <w:rsid w:val="00FA4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header"/>
    <w:basedOn w:val="1"/>
    <w:link w:val="9"/>
    <w:unhideWhenUsed/>
    <w:qFormat/>
    <w:uiPriority w:val="99"/>
    <w:pPr>
      <w:widowControl/>
      <w:pBdr>
        <w:bottom w:val="single" w:color="auto" w:sz="6" w:space="1"/>
      </w:pBdr>
      <w:tabs>
        <w:tab w:val="center" w:pos="4153"/>
        <w:tab w:val="right" w:pos="8306"/>
      </w:tabs>
      <w:snapToGrid w:val="0"/>
      <w:spacing w:after="160"/>
      <w:jc w:val="center"/>
    </w:pPr>
    <w:rPr>
      <w:rFonts w:ascii="Calibri" w:hAnsi="Calibri" w:eastAsia="宋体" w:cs="宋体"/>
      <w:color w:val="000000"/>
      <w:kern w:val="0"/>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日期 字符"/>
    <w:basedOn w:val="6"/>
    <w:link w:val="2"/>
    <w:semiHidden/>
    <w:qFormat/>
    <w:uiPriority w:val="99"/>
  </w:style>
  <w:style w:type="character" w:customStyle="1" w:styleId="9">
    <w:name w:val="页眉 字符"/>
    <w:basedOn w:val="6"/>
    <w:link w:val="3"/>
    <w:qFormat/>
    <w:uiPriority w:val="99"/>
    <w:rPr>
      <w:rFonts w:ascii="Calibri" w:hAnsi="Calibri" w:eastAsia="宋体" w:cs="宋体"/>
      <w:color w:val="000000"/>
      <w:kern w:val="0"/>
      <w:sz w:val="18"/>
      <w:szCs w:val="18"/>
    </w:rPr>
  </w:style>
  <w:style w:type="table" w:customStyle="1" w:styleId="10">
    <w:name w:val="网格型1"/>
    <w:basedOn w:val="4"/>
    <w:qFormat/>
    <w:uiPriority w:val="39"/>
    <w:rPr>
      <w:rFonts w:ascii="Times New Roman" w:hAnsi="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file:///D:\document\convert_tasks\transweb\18968167_18944718\18968167.pdf.files\image012.jpg" TargetMode="External"/><Relationship Id="rId8" Type="http://schemas.openxmlformats.org/officeDocument/2006/relationships/image" Target="media/image2.jpeg"/><Relationship Id="rId7" Type="http://schemas.openxmlformats.org/officeDocument/2006/relationships/image" Target="file:///D:\document\convert_tasks\transweb\18968167_18944718\18968167.pdf.files\image011.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file:///D:\document\convert_tasks\transweb\18968167_18944718\18968167.pdf.files\image014.jpg" TargetMode="External"/><Relationship Id="rId12" Type="http://schemas.openxmlformats.org/officeDocument/2006/relationships/image" Target="media/image4.jpeg"/><Relationship Id="rId11" Type="http://schemas.openxmlformats.org/officeDocument/2006/relationships/image" Target="file:///D:\document\convert_tasks\transweb\18968167_18944718\18968167.pdf.files\image013.jpg"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64DDE-CC4A-4467-B955-AB305F6A5075}">
  <ds:schemaRefs/>
</ds:datastoreItem>
</file>

<file path=docProps/app.xml><?xml version="1.0" encoding="utf-8"?>
<Properties xmlns="http://schemas.openxmlformats.org/officeDocument/2006/extended-properties" xmlns:vt="http://schemas.openxmlformats.org/officeDocument/2006/docPropsVTypes">
  <Template>Normal.dotm</Template>
  <Pages>9</Pages>
  <Words>540</Words>
  <Characters>3078</Characters>
  <Lines>25</Lines>
  <Paragraphs>7</Paragraphs>
  <TotalTime>4</TotalTime>
  <ScaleCrop>false</ScaleCrop>
  <LinksUpToDate>false</LinksUpToDate>
  <CharactersWithSpaces>3611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2022-01-04T07:57:00Z</dcterms:created>
  <dc:creator>lenovo</dc:creator>
  <cp:lastModifiedBy>刘晓涛</cp:lastModifiedBy>
  <dcterms:modified xsi:type="dcterms:W3CDTF">2022-02-28T01:33:51Z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AB327C4F68B5415EBD0DD451DB0127F4</vt:lpwstr>
  </property>
</Properties>
</file>