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ind w:left="0" w:leftChars="0" w:firstLine="0" w:firstLineChars="0"/>
        <w:rPr>
          <w:rFonts w:ascii="宋体" w:hAnsi="宋体" w:eastAsia="宋体"/>
          <w:bCs/>
          <w:color w:val="auto"/>
          <w:kern w:val="0"/>
          <w:szCs w:val="28"/>
        </w:rPr>
      </w:pPr>
      <w:r>
        <w:rPr>
          <w:rFonts w:hint="eastAsia" w:ascii="宋体" w:hAnsi="宋体" w:eastAsia="宋体"/>
          <w:bCs/>
          <w:color w:val="auto"/>
          <w:kern w:val="0"/>
          <w:szCs w:val="28"/>
        </w:rPr>
        <w:t>附件1：</w:t>
      </w:r>
    </w:p>
    <w:p>
      <w:pPr>
        <w:widowControl/>
        <w:autoSpaceDE w:val="0"/>
        <w:snapToGrid w:val="0"/>
        <w:ind w:firstLine="0" w:firstLineChars="0"/>
        <w:jc w:val="center"/>
        <w:rPr>
          <w:rFonts w:ascii="宋体" w:hAnsi="宋体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/>
          <w:b/>
          <w:bCs w:val="0"/>
          <w:color w:val="auto"/>
          <w:kern w:val="0"/>
          <w:sz w:val="32"/>
          <w:szCs w:val="32"/>
        </w:rPr>
        <w:t>脑科院202</w:t>
      </w:r>
      <w:r>
        <w:rPr>
          <w:rFonts w:hint="eastAsia" w:ascii="宋体" w:hAnsi="宋体"/>
          <w:b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 w:val="0"/>
          <w:color w:val="auto"/>
          <w:kern w:val="0"/>
          <w:sz w:val="32"/>
          <w:szCs w:val="32"/>
        </w:rPr>
        <w:t>年夏季博士、硕士学位申请工作时间安排</w:t>
      </w:r>
    </w:p>
    <w:tbl>
      <w:tblPr>
        <w:tblStyle w:val="4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84"/>
        <w:gridCol w:w="2042"/>
        <w:gridCol w:w="5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对象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步骤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研究生/导师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提出学位申请，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提交科研成果、学位论文。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提出毕业及学位申请。注：仅申请毕业不申请学位的研究生，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需要提交延期答辩申请表（见附件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）给学院研工办、校学位办。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博士研究生向学院研工办提交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以下材料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：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博士学位申请审核表（见附件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（含纸版和电子word版，以学号加姓名命名）；</w:t>
            </w:r>
          </w:p>
          <w:p>
            <w:pPr>
              <w:widowControl/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博士就读期间科研成果原件及复印件（成果复印件上请划出作者、所在单位、发表时间等信息，注明成果级别信息，由导师审核签字，SCI，SSCI、A&amp;HCI、EI，ISTP、ISSHP等收录的，请提交收录证明(学校图书馆可以开具)。</w:t>
            </w:r>
          </w:p>
          <w:p>
            <w:pPr>
              <w:widowControl/>
              <w:ind w:firstLine="0" w:firstLineChars="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3、PDF电子版博士学位论文，以学号命名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，隐去个人及导师姓名；删除文后感谢辞。</w:t>
            </w:r>
          </w:p>
          <w:p>
            <w:pPr>
              <w:widowControl/>
              <w:ind w:firstLine="0" w:firstLineChars="0"/>
              <w:rPr>
                <w:rFonts w:ascii="宋体" w:hAnsi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</w:rPr>
              <w:t>属抽检对象范围的硕士研究生向学院研工办提交：</w:t>
            </w:r>
          </w:p>
          <w:p>
            <w:pPr>
              <w:widowControl/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</w:rPr>
              <w:t>PDF电子版硕士学位论文，以学号命名，隐去个人及导师姓名；删除文后感谢辞。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审核学位申请人员申请条件及缴费情况；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审核博士研究生科研成果，学位论文送审材料；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完成学位论文查重；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组织学位论文预答辩；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提交学位申请材料；</w:t>
            </w:r>
          </w:p>
          <w:p>
            <w:pPr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领取论文封皮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办理评阅费转账。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审核学位申请人员申请条件：申请年限、学位课程成绩、科研成果要求等是否符合学位申请条件，是否完成缴费后，向研究生院培养办提交毕业申请人员名单（已经毕业仅申请学位学生，审核上述条件后，直接向学位办提出申请，但请向学位办备注说明）。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2、审核博士生学位申请审核表（按照模板及填写要求审核）、科研成果材料原件及复印件（原件审核后退回学生，复印件审核后由审核人员签字并加盖学院公章）。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3、审核学位申请人员学位论文，完成学位论文查重。</w:t>
            </w:r>
          </w:p>
          <w:p>
            <w:pPr>
              <w:ind w:firstLine="0" w:firstLineChars="0"/>
              <w:rPr>
                <w:rFonts w:hint="eastAsia" w:ascii="宋体" w:hAnsi="宋体" w:eastAsia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4、组织学位论文预答辩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5、研究生院培养办审核学院毕业申请人员名单，通过人员在系统内设置为毕业状态。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6、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向学位办提交：</w:t>
            </w:r>
          </w:p>
          <w:p>
            <w:pPr>
              <w:ind w:firstLine="0" w:firstLineChars="0"/>
              <w:rPr>
                <w:rFonts w:hint="default" w:ascii="宋体"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（1）博士生学位申请审核表（纸版、电子word版）、科研成果复印件、博士学位论文、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u w:val="single"/>
              </w:rPr>
              <w:t>被抽检的硕士学位论文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（电子PDF版，以学号命名,文件大小不能大于20MB；隐去个人及导师姓名；删除文后感谢辞）及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u w:val="single"/>
              </w:rPr>
              <w:t>学院学位申请汇总数据表。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以上所有材料电子版（科研成果复印件除外）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打包发送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研究生院；</w:t>
            </w:r>
          </w:p>
          <w:p>
            <w:pPr>
              <w:ind w:firstLine="0" w:firstLineChars="0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（2）学院在系统上维护学位申请名单，导出当次学位申请名单（与系统内一致，不得手动增减数据，如有增减，请注明）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7、学位办根据学位申请名单及情况说明发放论文封皮等答辩材料。</w:t>
            </w:r>
          </w:p>
          <w:p>
            <w:pPr>
              <w:ind w:firstLine="0" w:firstLineChars="0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8.办理博士和被抽检硕士学位论文评阅费转账手续。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日-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学院/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学位办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组织（完成）学位论文送审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1、博士学位论文、被抽检的硕士学位论文由学位办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送审；</w:t>
            </w:r>
          </w:p>
          <w:p>
            <w:pPr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2、其他硕士学位论文由学院送审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3、学位论文送审前需提交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学位论文送审导师知情同意表（见附件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</w:rPr>
              <w:t>日前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研究生/导师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答辩申请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1、根据送审结果，系统内填写提交答辩申请；</w:t>
            </w:r>
          </w:p>
          <w:p>
            <w:pPr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2、系统内填写提交学位上报采集信息，系统截止填报时间为5月20日；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3、提交学位申请材料（具体见学位材料提交说明）。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答辩安排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1、审核答辩申请（硕士由学院直接审核，博士学院审核后还需学位办确认）；</w:t>
            </w:r>
          </w:p>
          <w:p>
            <w:pPr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2、组织安排学位论文答辩；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3、完成系统上答辩信息录入，系统截止填报时间为5月20日。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5月31日前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审核学位申请材料，召开学位评定分委员会会议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1、审核学位申请材料；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2、组织召开学位评定分委员会会议；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3、完成系统内分委会讨论管理模块信息填写操作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系统关闭时间为5月31日；</w:t>
            </w:r>
          </w:p>
          <w:p>
            <w:pPr>
              <w:ind w:firstLine="0" w:firstLineChars="0"/>
              <w:rPr>
                <w:rFonts w:ascii="宋体" w:hAnsi="宋体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u w:val="single"/>
              </w:rPr>
              <w:t>4、填写学位评定分委员会建议授予学位人员情况报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u w:val="single"/>
              </w:rPr>
              <w:t>告。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专业学位培养单位请同时提交一份复印件给专业学位办公室；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5、向学位办提交学位申请材料（具体见学位材料提交说明）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6月中下旬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学位办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组织召开校学位评定委员会会议，制发学位证书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1、组织召开校学位评定委员会会议，审定学位授予人员名单；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2、制发学位证书及学位授予决议书。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7月上旬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发放学位证书，整理移交学位档案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1、发放学位证书给学生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2、整理、移交学位档案材料给档案馆。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学生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向学校图书馆提交论文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纸质版2份，电子版经图书馆系统上传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学位办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整理、上报、移交学位数据及材料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1、学位数据审核上报；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2、学位论文信息采集及整理移交；</w:t>
            </w:r>
          </w:p>
          <w:p>
            <w:pPr>
              <w:ind w:firstLine="0" w:firstLineChars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3、学位授予材料整理。</w:t>
            </w:r>
          </w:p>
        </w:tc>
      </w:tr>
    </w:tbl>
    <w:p>
      <w:pPr>
        <w:rPr>
          <w:color w:val="auto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jMzMjZkNTQ5M2RlYmI0ZDZjMWYwNTM0MGFmZmIifQ=="/>
  </w:docVars>
  <w:rsids>
    <w:rsidRoot w:val="18AA5F8D"/>
    <w:rsid w:val="0070479F"/>
    <w:rsid w:val="01CA216C"/>
    <w:rsid w:val="02BC7D06"/>
    <w:rsid w:val="03830824"/>
    <w:rsid w:val="05F21E55"/>
    <w:rsid w:val="07C66DAC"/>
    <w:rsid w:val="094777DF"/>
    <w:rsid w:val="0BE8391A"/>
    <w:rsid w:val="0EEB13C6"/>
    <w:rsid w:val="120E39AF"/>
    <w:rsid w:val="1456794A"/>
    <w:rsid w:val="15F5735F"/>
    <w:rsid w:val="18AA5F8D"/>
    <w:rsid w:val="1F0B19A2"/>
    <w:rsid w:val="1F30765A"/>
    <w:rsid w:val="2120725A"/>
    <w:rsid w:val="218477E9"/>
    <w:rsid w:val="23C44815"/>
    <w:rsid w:val="25EE7927"/>
    <w:rsid w:val="260929B3"/>
    <w:rsid w:val="27DC212D"/>
    <w:rsid w:val="28E219C5"/>
    <w:rsid w:val="2A477F40"/>
    <w:rsid w:val="2B0C214E"/>
    <w:rsid w:val="2C8329D3"/>
    <w:rsid w:val="2C853793"/>
    <w:rsid w:val="2E2501F1"/>
    <w:rsid w:val="2E730E51"/>
    <w:rsid w:val="3005732A"/>
    <w:rsid w:val="31452BDD"/>
    <w:rsid w:val="31464A21"/>
    <w:rsid w:val="32D974CB"/>
    <w:rsid w:val="32F32A3D"/>
    <w:rsid w:val="34452E08"/>
    <w:rsid w:val="3490277D"/>
    <w:rsid w:val="36883480"/>
    <w:rsid w:val="36C546D4"/>
    <w:rsid w:val="37503F9E"/>
    <w:rsid w:val="37D6709E"/>
    <w:rsid w:val="3E1F4FC1"/>
    <w:rsid w:val="3F1F4257"/>
    <w:rsid w:val="407D09F5"/>
    <w:rsid w:val="414D154E"/>
    <w:rsid w:val="41F26553"/>
    <w:rsid w:val="44C85ABB"/>
    <w:rsid w:val="48480CC1"/>
    <w:rsid w:val="4A97698D"/>
    <w:rsid w:val="4BAD5A0B"/>
    <w:rsid w:val="4E9702AC"/>
    <w:rsid w:val="55661910"/>
    <w:rsid w:val="59044790"/>
    <w:rsid w:val="5BAB13E0"/>
    <w:rsid w:val="5CBC3D00"/>
    <w:rsid w:val="5CF27722"/>
    <w:rsid w:val="5D887EBE"/>
    <w:rsid w:val="5DA14CA4"/>
    <w:rsid w:val="5DBA0208"/>
    <w:rsid w:val="603D5158"/>
    <w:rsid w:val="608B4F5E"/>
    <w:rsid w:val="60BD1DF5"/>
    <w:rsid w:val="60FD01FA"/>
    <w:rsid w:val="66012783"/>
    <w:rsid w:val="695928D6"/>
    <w:rsid w:val="6BFF59B7"/>
    <w:rsid w:val="6CFE17CB"/>
    <w:rsid w:val="6D5835D1"/>
    <w:rsid w:val="6F3E5FCD"/>
    <w:rsid w:val="6F986024"/>
    <w:rsid w:val="6F99049D"/>
    <w:rsid w:val="6FC00FB9"/>
    <w:rsid w:val="703D6AAE"/>
    <w:rsid w:val="70F45281"/>
    <w:rsid w:val="7329156C"/>
    <w:rsid w:val="748C5ABD"/>
    <w:rsid w:val="75C335B1"/>
    <w:rsid w:val="75D9370D"/>
    <w:rsid w:val="77B04009"/>
    <w:rsid w:val="78B427A7"/>
    <w:rsid w:val="7A074A53"/>
    <w:rsid w:val="7C2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2023-02-26T04:01:00Z</dcterms:created>
  <dc:creator>何茂炳</dc:creator>
  <cp:lastModifiedBy>何茂炳</cp:lastModifiedBy>
  <dcterms:modified xsi:type="dcterms:W3CDTF">2023-02-26T14:06:29Z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5532B40B750F4906BFCCE287C129CE8B</vt:lpwstr>
  </property>
</Properties>
</file>