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bCs/>
          <w:sz w:val="32"/>
          <w:szCs w:val="40"/>
        </w:rPr>
      </w:pPr>
      <w:r>
        <w:rPr>
          <w:rFonts w:hint="eastAsia" w:ascii="华文中宋" w:hAnsi="华文中宋" w:eastAsia="华文中宋" w:cs="华文中宋"/>
          <w:b/>
          <w:bCs/>
          <w:sz w:val="32"/>
          <w:szCs w:val="40"/>
        </w:rPr>
        <w:t>华南师范大学</w:t>
      </w:r>
      <w:r>
        <w:rPr>
          <w:rFonts w:hint="eastAsia" w:ascii="华文中宋" w:hAnsi="华文中宋" w:eastAsia="华文中宋" w:cs="华文中宋"/>
          <w:b/>
          <w:bCs/>
          <w:sz w:val="32"/>
          <w:szCs w:val="40"/>
          <w:highlight w:val="none"/>
        </w:rPr>
        <w:t>心理学院202</w:t>
      </w:r>
      <w:r>
        <w:rPr>
          <w:rFonts w:hint="eastAsia" w:ascii="华文中宋" w:hAnsi="华文中宋" w:eastAsia="华文中宋" w:cs="华文中宋"/>
          <w:b/>
          <w:bCs/>
          <w:sz w:val="32"/>
          <w:szCs w:val="40"/>
          <w:highlight w:val="none"/>
          <w:lang w:val="en-US" w:eastAsia="zh-CN"/>
        </w:rPr>
        <w:t>4</w:t>
      </w:r>
      <w:r>
        <w:rPr>
          <w:rFonts w:hint="eastAsia" w:ascii="华文中宋" w:hAnsi="华文中宋" w:eastAsia="华文中宋" w:cs="华文中宋"/>
          <w:b/>
          <w:bCs/>
          <w:sz w:val="32"/>
          <w:szCs w:val="40"/>
          <w:highlight w:val="none"/>
        </w:rPr>
        <w:t>年</w:t>
      </w:r>
      <w:r>
        <w:rPr>
          <w:rFonts w:hint="eastAsia" w:ascii="华文中宋" w:hAnsi="华文中宋" w:eastAsia="华文中宋" w:cs="华文中宋"/>
          <w:b/>
          <w:bCs/>
          <w:sz w:val="32"/>
          <w:szCs w:val="40"/>
        </w:rPr>
        <w:t>在职人员攻读非全日制</w:t>
      </w:r>
    </w:p>
    <w:p>
      <w:pPr>
        <w:jc w:val="center"/>
        <w:rPr>
          <w:rFonts w:hint="eastAsia" w:ascii="华文中宋" w:hAnsi="华文中宋" w:eastAsia="华文中宋" w:cs="华文中宋"/>
          <w:b/>
          <w:bCs/>
          <w:sz w:val="32"/>
          <w:szCs w:val="40"/>
        </w:rPr>
      </w:pPr>
      <w:r>
        <w:rPr>
          <w:rFonts w:hint="eastAsia" w:ascii="华文中宋" w:hAnsi="华文中宋" w:eastAsia="华文中宋" w:cs="华文中宋"/>
          <w:b/>
          <w:bCs/>
          <w:sz w:val="32"/>
          <w:szCs w:val="40"/>
        </w:rPr>
        <w:t>应用心理硕士（MAP）专业学位型研究生招生信息</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rPr>
      </w:pP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 w:hAnsi="仿宋" w:eastAsia="仿宋" w:cs="仿宋"/>
          <w:b/>
          <w:bCs/>
          <w:sz w:val="24"/>
          <w:szCs w:val="32"/>
        </w:rPr>
      </w:pPr>
      <w:r>
        <w:rPr>
          <w:rFonts w:hint="eastAsia" w:ascii="仿宋" w:hAnsi="仿宋" w:eastAsia="仿宋" w:cs="仿宋"/>
          <w:b/>
          <w:bCs/>
          <w:sz w:val="24"/>
          <w:szCs w:val="32"/>
        </w:rPr>
        <w:t>一、华南师范大学心理学院简介</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rPr>
      </w:pPr>
      <w:r>
        <w:rPr>
          <w:rFonts w:hint="eastAsia" w:ascii="仿宋" w:hAnsi="仿宋" w:eastAsia="仿宋" w:cs="仿宋"/>
          <w:sz w:val="24"/>
          <w:szCs w:val="32"/>
        </w:rPr>
        <w:t>华南师范大学心理学科由早年留学于日本东京帝国大学的老一辈心理学家阮镜清（1905－1993）教授创建于上世纪50年代初期，之后在他的带领下涌现出了肖前瑛、沈家鲜、许尚侠等一批优秀的心理学家，在教育心理、发展心理、实验心理等多个领域开展了大量的研究工作，取得丰硕成果，在国内外心理学界产生了重要影响。</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rPr>
      </w:pPr>
      <w:r>
        <w:rPr>
          <w:rFonts w:hint="eastAsia" w:ascii="仿宋" w:hAnsi="仿宋" w:eastAsia="仿宋" w:cs="仿宋"/>
          <w:sz w:val="24"/>
          <w:szCs w:val="32"/>
        </w:rPr>
        <w:t>本学科有强劲的科研与教学平台。1984年首批获批教育心理学博士点，2000年在全国首批获批一级学科博士学位授予权，2002 年发展与教育心理学获首批国家重点学科，拥有教育部人文社科重点研究基地（2001年）、“脑认知与教育科学”教育部重点实验室（2019年）、“儿童青少年阅读与发展”教育部哲学社会科学实验室（2021年）、国家基础学科拔尖学生培养计划2.0基地（2020年）、国家理科基础研究与人才培养基地（2008年）、国家级实验教学示范中心（2009年，全国心理学界第一个）等国家级、省部级科研与教学平台。</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highlight w:val="none"/>
        </w:rPr>
      </w:pPr>
      <w:r>
        <w:rPr>
          <w:rFonts w:hint="eastAsia" w:ascii="仿宋" w:hAnsi="仿宋" w:eastAsia="仿宋" w:cs="仿宋"/>
          <w:sz w:val="24"/>
          <w:szCs w:val="32"/>
          <w:highlight w:val="none"/>
        </w:rPr>
        <w:t>在教育部第四轮（2017年）和第五轮（2022年）学科评估中，本学科与北师大心理学科、北京大学心理学科并列被评为A+。科学研究与国际前沿接轨，科学研究的国际影响力显著，心理学与精神病学、神经科学与行为科学两个学科稳居国际ESI前1%。</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highlight w:val="none"/>
        </w:rPr>
      </w:pPr>
      <w:r>
        <w:rPr>
          <w:rFonts w:hint="eastAsia" w:ascii="仿宋" w:hAnsi="仿宋" w:eastAsia="仿宋" w:cs="仿宋"/>
          <w:sz w:val="24"/>
          <w:szCs w:val="32"/>
          <w:highlight w:val="none"/>
        </w:rPr>
        <w:t>华南师范大学心理学院师资力量雄厚，拥有一批在国内外享有盛誉的专家学者，2018年获批教育部首批“黄大年式教师团队”。现有专任教师58人，其中教授33人，副教授21人，硕士生导师48人，博士生导师28人，国家级教学名师2人，长江学者特聘教授2人，长江学者讲座教授1人，青年长江学者1人，国家优秀青年基金获得者1人，国家重要海外人才引进计划青年项目入选者1人，全国宣传思想文化青年英才2人，全国优秀博士学位论文奖获得者4人，教育部“新世纪优秀人才”支持计划获得者5人，教育部霍英东基金会青年教师奖获得者3人，广东省“珠江学者”与“青年珠江学者”共10人。</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 w:hAnsi="仿宋" w:eastAsia="仿宋" w:cs="仿宋"/>
          <w:sz w:val="24"/>
          <w:szCs w:val="32"/>
        </w:rPr>
      </w:pPr>
      <w:r>
        <w:rPr>
          <w:rFonts w:hint="eastAsia" w:ascii="仿宋" w:hAnsi="仿宋" w:eastAsia="仿宋" w:cs="仿宋"/>
          <w:sz w:val="24"/>
          <w:szCs w:val="32"/>
        </w:rPr>
        <w:t xml:space="preserve">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 w:hAnsi="仿宋" w:eastAsia="仿宋" w:cs="仿宋"/>
          <w:sz w:val="28"/>
          <w:szCs w:val="36"/>
        </w:rPr>
      </w:pPr>
      <w:r>
        <w:rPr>
          <w:rFonts w:hint="eastAsia" w:ascii="仿宋" w:hAnsi="仿宋" w:eastAsia="仿宋" w:cs="仿宋"/>
          <w:b/>
          <w:bCs/>
          <w:sz w:val="24"/>
          <w:szCs w:val="32"/>
        </w:rPr>
        <w:t>二、招生计划与考试科目</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pPr>
      <w:r>
        <w:rPr>
          <w:rFonts w:hint="eastAsia" w:ascii="仿宋" w:hAnsi="仿宋" w:eastAsia="仿宋" w:cs="仿宋"/>
          <w:sz w:val="24"/>
          <w:szCs w:val="32"/>
        </w:rPr>
        <w:t>我院应用心理硕士（MAP）属于专业学位型硕士专业，非全日制应用心理硕士（在职定向攻读）基本学制为三年，学生若符合毕业及学位授予的条件，毕业时将会获得毕业证书，并授予应用心理硕士学位证书。招生计划与考试科目如下表所示：</w:t>
      </w:r>
    </w:p>
    <w:tbl>
      <w:tblPr>
        <w:tblStyle w:val="4"/>
        <w:tblW w:w="96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74"/>
        <w:gridCol w:w="1210"/>
        <w:gridCol w:w="1280"/>
        <w:gridCol w:w="2330"/>
        <w:gridCol w:w="1750"/>
        <w:gridCol w:w="18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1" w:hRule="atLeast"/>
        </w:trPr>
        <w:tc>
          <w:tcPr>
            <w:tcW w:w="1174" w:type="dxa"/>
            <w:tcBorders>
              <w:top w:val="nil"/>
              <w:left w:val="nil"/>
              <w:bottom w:val="single" w:color="FFFFFF" w:sz="12" w:space="0"/>
              <w:right w:val="single" w:color="FFFFFF" w:sz="4" w:space="0"/>
            </w:tcBorders>
            <w:shd w:val="clear" w:color="4472C4" w:fill="4472C4"/>
            <w:noWrap/>
            <w:vAlign w:val="center"/>
          </w:tcPr>
          <w:p>
            <w:pPr>
              <w:keepNext w:val="0"/>
              <w:keepLines w:val="0"/>
              <w:widowControl/>
              <w:suppressLineNumbers w:val="0"/>
              <w:jc w:val="center"/>
              <w:textAlignment w:val="center"/>
              <w:rPr>
                <w:rFonts w:hint="eastAsia" w:ascii="宋体" w:hAnsi="宋体" w:eastAsia="宋体" w:cs="宋体"/>
                <w:b/>
                <w:bCs/>
                <w:i w:val="0"/>
                <w:iCs w:val="0"/>
                <w:color w:val="FFFFFF"/>
                <w:sz w:val="22"/>
                <w:szCs w:val="22"/>
                <w:u w:val="none"/>
              </w:rPr>
            </w:pPr>
            <w:r>
              <w:rPr>
                <w:rFonts w:hint="eastAsia" w:ascii="宋体" w:hAnsi="宋体" w:eastAsia="宋体" w:cs="宋体"/>
                <w:b/>
                <w:bCs/>
                <w:i w:val="0"/>
                <w:iCs w:val="0"/>
                <w:color w:val="FFFFFF"/>
                <w:kern w:val="0"/>
                <w:sz w:val="22"/>
                <w:szCs w:val="22"/>
                <w:u w:val="none"/>
                <w:lang w:val="en-US" w:eastAsia="zh-CN" w:bidi="ar"/>
              </w:rPr>
              <w:t>专业代码</w:t>
            </w:r>
          </w:p>
        </w:tc>
        <w:tc>
          <w:tcPr>
            <w:tcW w:w="1210" w:type="dxa"/>
            <w:tcBorders>
              <w:top w:val="nil"/>
              <w:left w:val="single" w:color="FFFFFF" w:sz="4" w:space="0"/>
              <w:bottom w:val="single" w:color="FFFFFF" w:sz="12" w:space="0"/>
              <w:right w:val="single" w:color="FFFFFF" w:sz="4" w:space="0"/>
            </w:tcBorders>
            <w:shd w:val="clear" w:color="4472C4" w:fill="4472C4"/>
            <w:noWrap/>
            <w:vAlign w:val="center"/>
          </w:tcPr>
          <w:p>
            <w:pPr>
              <w:keepNext w:val="0"/>
              <w:keepLines w:val="0"/>
              <w:widowControl/>
              <w:suppressLineNumbers w:val="0"/>
              <w:jc w:val="center"/>
              <w:textAlignment w:val="center"/>
              <w:rPr>
                <w:rFonts w:hint="eastAsia" w:ascii="宋体" w:hAnsi="宋体" w:eastAsia="宋体" w:cs="宋体"/>
                <w:b/>
                <w:bCs/>
                <w:i w:val="0"/>
                <w:iCs w:val="0"/>
                <w:color w:val="FFFFFF"/>
                <w:sz w:val="22"/>
                <w:szCs w:val="22"/>
                <w:u w:val="none"/>
              </w:rPr>
            </w:pPr>
            <w:r>
              <w:rPr>
                <w:rFonts w:hint="eastAsia" w:ascii="宋体" w:hAnsi="宋体" w:eastAsia="宋体" w:cs="宋体"/>
                <w:b/>
                <w:bCs/>
                <w:i w:val="0"/>
                <w:iCs w:val="0"/>
                <w:color w:val="FFFFFF"/>
                <w:kern w:val="0"/>
                <w:sz w:val="22"/>
                <w:szCs w:val="22"/>
                <w:u w:val="none"/>
                <w:lang w:val="en-US" w:eastAsia="zh-CN" w:bidi="ar"/>
              </w:rPr>
              <w:t>专业名称</w:t>
            </w:r>
          </w:p>
        </w:tc>
        <w:tc>
          <w:tcPr>
            <w:tcW w:w="1280" w:type="dxa"/>
            <w:tcBorders>
              <w:top w:val="nil"/>
              <w:left w:val="single" w:color="FFFFFF" w:sz="4" w:space="0"/>
              <w:bottom w:val="single" w:color="FFFFFF" w:sz="12" w:space="0"/>
              <w:right w:val="single" w:color="FFFFFF" w:sz="4" w:space="0"/>
            </w:tcBorders>
            <w:shd w:val="clear" w:color="4472C4" w:fill="4472C4"/>
            <w:noWrap/>
            <w:vAlign w:val="center"/>
          </w:tcPr>
          <w:p>
            <w:pPr>
              <w:keepNext w:val="0"/>
              <w:keepLines w:val="0"/>
              <w:widowControl/>
              <w:suppressLineNumbers w:val="0"/>
              <w:jc w:val="center"/>
              <w:textAlignment w:val="center"/>
              <w:rPr>
                <w:rFonts w:hint="eastAsia" w:ascii="宋体" w:hAnsi="宋体" w:eastAsia="宋体" w:cs="宋体"/>
                <w:b/>
                <w:bCs/>
                <w:i w:val="0"/>
                <w:iCs w:val="0"/>
                <w:color w:val="FFFFFF"/>
                <w:sz w:val="22"/>
                <w:szCs w:val="22"/>
                <w:u w:val="none"/>
              </w:rPr>
            </w:pPr>
            <w:r>
              <w:rPr>
                <w:rFonts w:hint="eastAsia" w:ascii="宋体" w:hAnsi="宋体" w:eastAsia="宋体" w:cs="宋体"/>
                <w:b/>
                <w:bCs/>
                <w:i w:val="0"/>
                <w:iCs w:val="0"/>
                <w:color w:val="FFFFFF"/>
                <w:kern w:val="0"/>
                <w:sz w:val="22"/>
                <w:szCs w:val="22"/>
                <w:u w:val="none"/>
                <w:lang w:val="en-US" w:eastAsia="zh-CN" w:bidi="ar"/>
              </w:rPr>
              <w:t>学习方式</w:t>
            </w:r>
            <w:r>
              <w:rPr>
                <w:rStyle w:val="7"/>
                <w:lang w:val="en-US" w:eastAsia="zh-CN" w:bidi="ar"/>
              </w:rPr>
              <w:t xml:space="preserve"> </w:t>
            </w:r>
          </w:p>
        </w:tc>
        <w:tc>
          <w:tcPr>
            <w:tcW w:w="2330" w:type="dxa"/>
            <w:tcBorders>
              <w:top w:val="nil"/>
              <w:left w:val="single" w:color="FFFFFF" w:sz="4" w:space="0"/>
              <w:bottom w:val="single" w:color="FFFFFF" w:sz="12" w:space="0"/>
              <w:right w:val="single" w:color="FFFFFF" w:sz="4" w:space="0"/>
            </w:tcBorders>
            <w:shd w:val="clear" w:color="4472C4" w:fill="4472C4"/>
            <w:noWrap/>
            <w:vAlign w:val="center"/>
          </w:tcPr>
          <w:p>
            <w:pPr>
              <w:keepNext w:val="0"/>
              <w:keepLines w:val="0"/>
              <w:widowControl/>
              <w:suppressLineNumbers w:val="0"/>
              <w:jc w:val="center"/>
              <w:textAlignment w:val="center"/>
              <w:rPr>
                <w:rFonts w:hint="eastAsia" w:ascii="宋体" w:hAnsi="宋体" w:eastAsia="宋体" w:cs="宋体"/>
                <w:b/>
                <w:bCs/>
                <w:i w:val="0"/>
                <w:iCs w:val="0"/>
                <w:color w:val="FFFFFF"/>
                <w:sz w:val="22"/>
                <w:szCs w:val="22"/>
                <w:u w:val="none"/>
              </w:rPr>
            </w:pPr>
            <w:r>
              <w:rPr>
                <w:rFonts w:hint="eastAsia" w:ascii="宋体" w:hAnsi="宋体" w:eastAsia="宋体" w:cs="宋体"/>
                <w:b/>
                <w:bCs/>
                <w:i w:val="0"/>
                <w:iCs w:val="0"/>
                <w:color w:val="FFFFFF"/>
                <w:kern w:val="0"/>
                <w:sz w:val="22"/>
                <w:szCs w:val="22"/>
                <w:u w:val="none"/>
                <w:lang w:val="en-US" w:eastAsia="zh-CN" w:bidi="ar"/>
              </w:rPr>
              <w:t>初试科目</w:t>
            </w:r>
          </w:p>
        </w:tc>
        <w:tc>
          <w:tcPr>
            <w:tcW w:w="1750" w:type="dxa"/>
            <w:tcBorders>
              <w:top w:val="nil"/>
              <w:left w:val="single" w:color="FFFFFF" w:sz="4" w:space="0"/>
              <w:bottom w:val="single" w:color="FFFFFF" w:sz="12" w:space="0"/>
              <w:right w:val="single" w:color="FFFFFF" w:sz="4" w:space="0"/>
            </w:tcBorders>
            <w:shd w:val="clear" w:color="4472C4" w:fill="4472C4"/>
            <w:noWrap/>
            <w:vAlign w:val="center"/>
          </w:tcPr>
          <w:p>
            <w:pPr>
              <w:keepNext w:val="0"/>
              <w:keepLines w:val="0"/>
              <w:widowControl/>
              <w:suppressLineNumbers w:val="0"/>
              <w:jc w:val="center"/>
              <w:textAlignment w:val="center"/>
              <w:rPr>
                <w:rFonts w:hint="eastAsia" w:ascii="宋体" w:hAnsi="宋体" w:eastAsia="宋体" w:cs="宋体"/>
                <w:b/>
                <w:bCs/>
                <w:i w:val="0"/>
                <w:iCs w:val="0"/>
                <w:color w:val="FFFFFF"/>
                <w:sz w:val="22"/>
                <w:szCs w:val="22"/>
                <w:u w:val="none"/>
              </w:rPr>
            </w:pPr>
            <w:r>
              <w:rPr>
                <w:rFonts w:hint="eastAsia" w:ascii="宋体" w:hAnsi="宋体" w:eastAsia="宋体" w:cs="宋体"/>
                <w:b/>
                <w:bCs/>
                <w:i w:val="0"/>
                <w:iCs w:val="0"/>
                <w:color w:val="FFFFFF"/>
                <w:kern w:val="0"/>
                <w:sz w:val="22"/>
                <w:szCs w:val="22"/>
                <w:u w:val="none"/>
                <w:lang w:val="en-US" w:eastAsia="zh-CN" w:bidi="ar"/>
              </w:rPr>
              <w:t>复试科目</w:t>
            </w:r>
          </w:p>
        </w:tc>
        <w:tc>
          <w:tcPr>
            <w:tcW w:w="1892" w:type="dxa"/>
            <w:tcBorders>
              <w:top w:val="nil"/>
              <w:left w:val="single" w:color="FFFFFF" w:sz="4" w:space="0"/>
              <w:bottom w:val="single" w:color="FFFFFF" w:sz="12" w:space="0"/>
              <w:right w:val="nil"/>
            </w:tcBorders>
            <w:shd w:val="clear" w:color="4472C4" w:fill="4472C4"/>
            <w:noWrap/>
            <w:vAlign w:val="center"/>
          </w:tcPr>
          <w:p>
            <w:pPr>
              <w:keepNext w:val="0"/>
              <w:keepLines w:val="0"/>
              <w:widowControl/>
              <w:suppressLineNumbers w:val="0"/>
              <w:jc w:val="center"/>
              <w:textAlignment w:val="center"/>
              <w:rPr>
                <w:rFonts w:hint="eastAsia" w:ascii="宋体" w:hAnsi="宋体" w:eastAsia="宋体" w:cs="宋体"/>
                <w:b/>
                <w:bCs/>
                <w:i w:val="0"/>
                <w:iCs w:val="0"/>
                <w:color w:val="FFFFFF"/>
                <w:sz w:val="22"/>
                <w:szCs w:val="22"/>
                <w:u w:val="none"/>
              </w:rPr>
            </w:pPr>
            <w:r>
              <w:rPr>
                <w:rFonts w:hint="eastAsia" w:ascii="宋体" w:hAnsi="宋体" w:eastAsia="宋体" w:cs="宋体"/>
                <w:b/>
                <w:bCs/>
                <w:i w:val="0"/>
                <w:iCs w:val="0"/>
                <w:color w:val="FFFFFF"/>
                <w:kern w:val="0"/>
                <w:sz w:val="22"/>
                <w:szCs w:val="22"/>
                <w:u w:val="none"/>
                <w:lang w:val="en-US" w:eastAsia="zh-CN" w:bidi="ar"/>
              </w:rPr>
              <w:t>拟招生人数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74" w:type="dxa"/>
            <w:vMerge w:val="restart"/>
            <w:tcBorders>
              <w:top w:val="single" w:color="FFFFFF" w:sz="12" w:space="0"/>
              <w:left w:val="nil"/>
              <w:bottom w:val="single" w:color="FFFFFF" w:sz="4" w:space="0"/>
              <w:right w:val="single" w:color="FFFFFF" w:sz="4" w:space="0"/>
            </w:tcBorders>
            <w:shd w:val="clear" w:color="B4C6E7" w:fill="B4C6E7"/>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045400</w:t>
            </w:r>
          </w:p>
        </w:tc>
        <w:tc>
          <w:tcPr>
            <w:tcW w:w="1210" w:type="dxa"/>
            <w:vMerge w:val="restart"/>
            <w:tcBorders>
              <w:top w:val="single" w:color="FFFFFF" w:sz="12" w:space="0"/>
              <w:left w:val="single" w:color="FFFFFF" w:sz="4" w:space="0"/>
              <w:bottom w:val="single" w:color="FFFFFF" w:sz="4" w:space="0"/>
              <w:right w:val="single" w:color="FFFFFF" w:sz="4" w:space="0"/>
            </w:tcBorders>
            <w:shd w:val="clear" w:color="B4C6E7" w:fill="B4C6E7"/>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应用心理</w:t>
            </w:r>
          </w:p>
        </w:tc>
        <w:tc>
          <w:tcPr>
            <w:tcW w:w="1280" w:type="dxa"/>
            <w:vMerge w:val="restart"/>
            <w:tcBorders>
              <w:top w:val="single" w:color="FFFFFF" w:sz="12" w:space="0"/>
              <w:left w:val="single" w:color="FFFFFF" w:sz="4" w:space="0"/>
              <w:bottom w:val="single" w:color="FFFFFF" w:sz="4" w:space="0"/>
              <w:right w:val="single" w:color="FFFFFF" w:sz="4" w:space="0"/>
            </w:tcBorders>
            <w:shd w:val="clear" w:color="B4C6E7" w:fill="B4C6E7"/>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非全日制</w:t>
            </w:r>
          </w:p>
        </w:tc>
        <w:tc>
          <w:tcPr>
            <w:tcW w:w="2330" w:type="dxa"/>
            <w:vMerge w:val="restart"/>
            <w:tcBorders>
              <w:top w:val="single" w:color="FFFFFF" w:sz="12" w:space="0"/>
              <w:left w:val="single" w:color="FFFFFF" w:sz="4" w:space="0"/>
              <w:bottom w:val="single" w:color="FFFFFF" w:sz="4" w:space="0"/>
              <w:right w:val="single" w:color="FFFFFF" w:sz="4" w:space="0"/>
            </w:tcBorders>
            <w:shd w:val="clear" w:color="B4C6E7" w:fill="B4C6E7"/>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①  101  思想政治理论</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②  204  英语（二）</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③  347  心理学专业综合</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④  --  无</w:t>
            </w:r>
          </w:p>
        </w:tc>
        <w:tc>
          <w:tcPr>
            <w:tcW w:w="1750" w:type="dxa"/>
            <w:vMerge w:val="restart"/>
            <w:tcBorders>
              <w:top w:val="single" w:color="FFFFFF" w:sz="12" w:space="0"/>
              <w:left w:val="single" w:color="FFFFFF" w:sz="4" w:space="0"/>
              <w:bottom w:val="single" w:color="FFFFFF" w:sz="4" w:space="0"/>
              <w:right w:val="single" w:color="FFFFFF" w:sz="4" w:space="0"/>
            </w:tcBorders>
            <w:shd w:val="clear" w:color="B4C6E7" w:fill="B4C6E7"/>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①  02401  心理</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学原理与研究方法</w:t>
            </w:r>
          </w:p>
        </w:tc>
        <w:tc>
          <w:tcPr>
            <w:tcW w:w="1892" w:type="dxa"/>
            <w:vMerge w:val="restart"/>
            <w:tcBorders>
              <w:top w:val="single" w:color="FFFFFF" w:sz="12" w:space="0"/>
              <w:left w:val="single" w:color="FFFFFF" w:sz="4" w:space="0"/>
              <w:bottom w:val="single" w:color="FFFFFF" w:sz="4" w:space="0"/>
              <w:right w:val="nil"/>
            </w:tcBorders>
            <w:shd w:val="clear" w:color="B4C6E7" w:fill="B4C6E7"/>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本方向拟招生70人，不招同等学力；只招定向就业考生。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74" w:type="dxa"/>
            <w:vMerge w:val="continue"/>
            <w:tcBorders>
              <w:top w:val="single" w:color="FFFFFF" w:sz="12" w:space="0"/>
              <w:left w:val="nil"/>
              <w:bottom w:val="single" w:color="FFFFFF" w:sz="4" w:space="0"/>
              <w:right w:val="single" w:color="FFFFFF" w:sz="4" w:space="0"/>
            </w:tcBorders>
            <w:shd w:val="clear" w:color="B4C6E7" w:fill="B4C6E7"/>
            <w:noWrap/>
            <w:vAlign w:val="center"/>
          </w:tcPr>
          <w:p>
            <w:pPr>
              <w:jc w:val="center"/>
              <w:rPr>
                <w:rFonts w:hint="eastAsia" w:ascii="宋体" w:hAnsi="宋体" w:eastAsia="宋体" w:cs="宋体"/>
                <w:i w:val="0"/>
                <w:iCs w:val="0"/>
                <w:color w:val="000000"/>
                <w:sz w:val="22"/>
                <w:szCs w:val="22"/>
                <w:u w:val="none"/>
              </w:rPr>
            </w:pPr>
          </w:p>
        </w:tc>
        <w:tc>
          <w:tcPr>
            <w:tcW w:w="1210" w:type="dxa"/>
            <w:vMerge w:val="continue"/>
            <w:tcBorders>
              <w:top w:val="single" w:color="FFFFFF" w:sz="12" w:space="0"/>
              <w:left w:val="single" w:color="FFFFFF" w:sz="4" w:space="0"/>
              <w:bottom w:val="single" w:color="FFFFFF" w:sz="4" w:space="0"/>
              <w:right w:val="single" w:color="FFFFFF" w:sz="4" w:space="0"/>
            </w:tcBorders>
            <w:shd w:val="clear" w:color="B4C6E7" w:fill="B4C6E7"/>
            <w:noWrap/>
            <w:vAlign w:val="center"/>
          </w:tcPr>
          <w:p>
            <w:pPr>
              <w:jc w:val="center"/>
              <w:rPr>
                <w:rFonts w:hint="eastAsia" w:ascii="宋体" w:hAnsi="宋体" w:eastAsia="宋体" w:cs="宋体"/>
                <w:i w:val="0"/>
                <w:iCs w:val="0"/>
                <w:color w:val="000000"/>
                <w:sz w:val="22"/>
                <w:szCs w:val="22"/>
                <w:u w:val="none"/>
              </w:rPr>
            </w:pPr>
          </w:p>
        </w:tc>
        <w:tc>
          <w:tcPr>
            <w:tcW w:w="1280" w:type="dxa"/>
            <w:vMerge w:val="continue"/>
            <w:tcBorders>
              <w:top w:val="single" w:color="FFFFFF" w:sz="12" w:space="0"/>
              <w:left w:val="single" w:color="FFFFFF" w:sz="4" w:space="0"/>
              <w:bottom w:val="single" w:color="FFFFFF" w:sz="4" w:space="0"/>
              <w:right w:val="single" w:color="FFFFFF" w:sz="4" w:space="0"/>
            </w:tcBorders>
            <w:shd w:val="clear" w:color="B4C6E7" w:fill="B4C6E7"/>
            <w:noWrap/>
            <w:vAlign w:val="center"/>
          </w:tcPr>
          <w:p>
            <w:pPr>
              <w:jc w:val="center"/>
              <w:rPr>
                <w:rFonts w:hint="eastAsia" w:ascii="宋体" w:hAnsi="宋体" w:eastAsia="宋体" w:cs="宋体"/>
                <w:i w:val="0"/>
                <w:iCs w:val="0"/>
                <w:color w:val="000000"/>
                <w:sz w:val="22"/>
                <w:szCs w:val="22"/>
                <w:u w:val="none"/>
              </w:rPr>
            </w:pPr>
          </w:p>
        </w:tc>
        <w:tc>
          <w:tcPr>
            <w:tcW w:w="2330" w:type="dxa"/>
            <w:vMerge w:val="continue"/>
            <w:tcBorders>
              <w:top w:val="single" w:color="FFFFFF" w:sz="12" w:space="0"/>
              <w:left w:val="single" w:color="FFFFFF" w:sz="4" w:space="0"/>
              <w:bottom w:val="single" w:color="FFFFFF" w:sz="4" w:space="0"/>
              <w:right w:val="single" w:color="FFFFFF" w:sz="4" w:space="0"/>
            </w:tcBorders>
            <w:shd w:val="clear" w:color="B4C6E7" w:fill="B4C6E7"/>
            <w:vAlign w:val="center"/>
          </w:tcPr>
          <w:p>
            <w:pPr>
              <w:jc w:val="left"/>
              <w:rPr>
                <w:rFonts w:hint="eastAsia" w:ascii="宋体" w:hAnsi="宋体" w:eastAsia="宋体" w:cs="宋体"/>
                <w:i w:val="0"/>
                <w:iCs w:val="0"/>
                <w:color w:val="000000"/>
                <w:sz w:val="18"/>
                <w:szCs w:val="18"/>
                <w:u w:val="none"/>
              </w:rPr>
            </w:pPr>
          </w:p>
        </w:tc>
        <w:tc>
          <w:tcPr>
            <w:tcW w:w="1750" w:type="dxa"/>
            <w:vMerge w:val="continue"/>
            <w:tcBorders>
              <w:top w:val="single" w:color="FFFFFF" w:sz="12" w:space="0"/>
              <w:left w:val="single" w:color="FFFFFF" w:sz="4" w:space="0"/>
              <w:bottom w:val="single" w:color="FFFFFF" w:sz="4" w:space="0"/>
              <w:right w:val="single" w:color="FFFFFF" w:sz="4" w:space="0"/>
            </w:tcBorders>
            <w:shd w:val="clear" w:color="B4C6E7" w:fill="B4C6E7"/>
            <w:vAlign w:val="center"/>
          </w:tcPr>
          <w:p>
            <w:pPr>
              <w:jc w:val="left"/>
              <w:rPr>
                <w:rFonts w:hint="eastAsia" w:ascii="宋体" w:hAnsi="宋体" w:eastAsia="宋体" w:cs="宋体"/>
                <w:i w:val="0"/>
                <w:iCs w:val="0"/>
                <w:color w:val="000000"/>
                <w:sz w:val="18"/>
                <w:szCs w:val="18"/>
                <w:u w:val="none"/>
              </w:rPr>
            </w:pPr>
          </w:p>
        </w:tc>
        <w:tc>
          <w:tcPr>
            <w:tcW w:w="1892" w:type="dxa"/>
            <w:vMerge w:val="continue"/>
            <w:tcBorders>
              <w:top w:val="single" w:color="FFFFFF" w:sz="12" w:space="0"/>
              <w:left w:val="single" w:color="FFFFFF" w:sz="4" w:space="0"/>
              <w:bottom w:val="single" w:color="FFFFFF" w:sz="4" w:space="0"/>
              <w:right w:val="nil"/>
            </w:tcBorders>
            <w:shd w:val="clear" w:color="B4C6E7" w:fill="B4C6E7"/>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74" w:type="dxa"/>
            <w:vMerge w:val="continue"/>
            <w:tcBorders>
              <w:top w:val="single" w:color="FFFFFF" w:sz="12" w:space="0"/>
              <w:left w:val="nil"/>
              <w:bottom w:val="single" w:color="FFFFFF" w:sz="4" w:space="0"/>
              <w:right w:val="single" w:color="FFFFFF" w:sz="4" w:space="0"/>
            </w:tcBorders>
            <w:shd w:val="clear" w:color="B4C6E7" w:fill="B4C6E7"/>
            <w:noWrap/>
            <w:vAlign w:val="center"/>
          </w:tcPr>
          <w:p>
            <w:pPr>
              <w:jc w:val="center"/>
              <w:rPr>
                <w:rFonts w:hint="eastAsia" w:ascii="宋体" w:hAnsi="宋体" w:eastAsia="宋体" w:cs="宋体"/>
                <w:i w:val="0"/>
                <w:iCs w:val="0"/>
                <w:color w:val="000000"/>
                <w:sz w:val="22"/>
                <w:szCs w:val="22"/>
                <w:u w:val="none"/>
              </w:rPr>
            </w:pPr>
          </w:p>
        </w:tc>
        <w:tc>
          <w:tcPr>
            <w:tcW w:w="1210" w:type="dxa"/>
            <w:vMerge w:val="continue"/>
            <w:tcBorders>
              <w:top w:val="single" w:color="FFFFFF" w:sz="12" w:space="0"/>
              <w:left w:val="single" w:color="FFFFFF" w:sz="4" w:space="0"/>
              <w:bottom w:val="single" w:color="FFFFFF" w:sz="4" w:space="0"/>
              <w:right w:val="single" w:color="FFFFFF" w:sz="4" w:space="0"/>
            </w:tcBorders>
            <w:shd w:val="clear" w:color="B4C6E7" w:fill="B4C6E7"/>
            <w:noWrap/>
            <w:vAlign w:val="center"/>
          </w:tcPr>
          <w:p>
            <w:pPr>
              <w:jc w:val="center"/>
              <w:rPr>
                <w:rFonts w:hint="eastAsia" w:ascii="宋体" w:hAnsi="宋体" w:eastAsia="宋体" w:cs="宋体"/>
                <w:i w:val="0"/>
                <w:iCs w:val="0"/>
                <w:color w:val="000000"/>
                <w:sz w:val="22"/>
                <w:szCs w:val="22"/>
                <w:u w:val="none"/>
              </w:rPr>
            </w:pPr>
          </w:p>
        </w:tc>
        <w:tc>
          <w:tcPr>
            <w:tcW w:w="1280" w:type="dxa"/>
            <w:vMerge w:val="continue"/>
            <w:tcBorders>
              <w:top w:val="single" w:color="FFFFFF" w:sz="12" w:space="0"/>
              <w:left w:val="single" w:color="FFFFFF" w:sz="4" w:space="0"/>
              <w:bottom w:val="single" w:color="FFFFFF" w:sz="4" w:space="0"/>
              <w:right w:val="single" w:color="FFFFFF" w:sz="4" w:space="0"/>
            </w:tcBorders>
            <w:shd w:val="clear" w:color="B4C6E7" w:fill="B4C6E7"/>
            <w:noWrap/>
            <w:vAlign w:val="center"/>
          </w:tcPr>
          <w:p>
            <w:pPr>
              <w:jc w:val="center"/>
              <w:rPr>
                <w:rFonts w:hint="eastAsia" w:ascii="宋体" w:hAnsi="宋体" w:eastAsia="宋体" w:cs="宋体"/>
                <w:i w:val="0"/>
                <w:iCs w:val="0"/>
                <w:color w:val="000000"/>
                <w:sz w:val="22"/>
                <w:szCs w:val="22"/>
                <w:u w:val="none"/>
              </w:rPr>
            </w:pPr>
          </w:p>
        </w:tc>
        <w:tc>
          <w:tcPr>
            <w:tcW w:w="2330" w:type="dxa"/>
            <w:vMerge w:val="continue"/>
            <w:tcBorders>
              <w:top w:val="single" w:color="FFFFFF" w:sz="12" w:space="0"/>
              <w:left w:val="single" w:color="FFFFFF" w:sz="4" w:space="0"/>
              <w:bottom w:val="single" w:color="FFFFFF" w:sz="4" w:space="0"/>
              <w:right w:val="single" w:color="FFFFFF" w:sz="4" w:space="0"/>
            </w:tcBorders>
            <w:shd w:val="clear" w:color="B4C6E7" w:fill="B4C6E7"/>
            <w:vAlign w:val="center"/>
          </w:tcPr>
          <w:p>
            <w:pPr>
              <w:jc w:val="left"/>
              <w:rPr>
                <w:rFonts w:hint="eastAsia" w:ascii="宋体" w:hAnsi="宋体" w:eastAsia="宋体" w:cs="宋体"/>
                <w:i w:val="0"/>
                <w:iCs w:val="0"/>
                <w:color w:val="000000"/>
                <w:sz w:val="18"/>
                <w:szCs w:val="18"/>
                <w:u w:val="none"/>
              </w:rPr>
            </w:pPr>
          </w:p>
        </w:tc>
        <w:tc>
          <w:tcPr>
            <w:tcW w:w="1750" w:type="dxa"/>
            <w:vMerge w:val="continue"/>
            <w:tcBorders>
              <w:top w:val="single" w:color="FFFFFF" w:sz="12" w:space="0"/>
              <w:left w:val="single" w:color="FFFFFF" w:sz="4" w:space="0"/>
              <w:bottom w:val="single" w:color="FFFFFF" w:sz="4" w:space="0"/>
              <w:right w:val="single" w:color="FFFFFF" w:sz="4" w:space="0"/>
            </w:tcBorders>
            <w:shd w:val="clear" w:color="B4C6E7" w:fill="B4C6E7"/>
            <w:vAlign w:val="center"/>
          </w:tcPr>
          <w:p>
            <w:pPr>
              <w:jc w:val="left"/>
              <w:rPr>
                <w:rFonts w:hint="eastAsia" w:ascii="宋体" w:hAnsi="宋体" w:eastAsia="宋体" w:cs="宋体"/>
                <w:i w:val="0"/>
                <w:iCs w:val="0"/>
                <w:color w:val="000000"/>
                <w:sz w:val="18"/>
                <w:szCs w:val="18"/>
                <w:u w:val="none"/>
              </w:rPr>
            </w:pPr>
          </w:p>
        </w:tc>
        <w:tc>
          <w:tcPr>
            <w:tcW w:w="1892" w:type="dxa"/>
            <w:vMerge w:val="continue"/>
            <w:tcBorders>
              <w:top w:val="single" w:color="FFFFFF" w:sz="12" w:space="0"/>
              <w:left w:val="single" w:color="FFFFFF" w:sz="4" w:space="0"/>
              <w:bottom w:val="single" w:color="FFFFFF" w:sz="4" w:space="0"/>
              <w:right w:val="nil"/>
            </w:tcBorders>
            <w:shd w:val="clear" w:color="B4C6E7" w:fill="B4C6E7"/>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1174" w:type="dxa"/>
            <w:vMerge w:val="continue"/>
            <w:tcBorders>
              <w:top w:val="single" w:color="FFFFFF" w:sz="12" w:space="0"/>
              <w:left w:val="nil"/>
              <w:bottom w:val="single" w:color="FFFFFF" w:sz="4" w:space="0"/>
              <w:right w:val="single" w:color="FFFFFF" w:sz="4" w:space="0"/>
            </w:tcBorders>
            <w:shd w:val="clear" w:color="B4C6E7" w:fill="B4C6E7"/>
            <w:noWrap/>
            <w:vAlign w:val="center"/>
          </w:tcPr>
          <w:p>
            <w:pPr>
              <w:jc w:val="center"/>
              <w:rPr>
                <w:rFonts w:hint="eastAsia" w:ascii="宋体" w:hAnsi="宋体" w:eastAsia="宋体" w:cs="宋体"/>
                <w:i w:val="0"/>
                <w:iCs w:val="0"/>
                <w:color w:val="000000"/>
                <w:sz w:val="22"/>
                <w:szCs w:val="22"/>
                <w:u w:val="none"/>
              </w:rPr>
            </w:pPr>
          </w:p>
        </w:tc>
        <w:tc>
          <w:tcPr>
            <w:tcW w:w="1210" w:type="dxa"/>
            <w:vMerge w:val="continue"/>
            <w:tcBorders>
              <w:top w:val="single" w:color="FFFFFF" w:sz="12" w:space="0"/>
              <w:left w:val="single" w:color="FFFFFF" w:sz="4" w:space="0"/>
              <w:bottom w:val="single" w:color="FFFFFF" w:sz="4" w:space="0"/>
              <w:right w:val="single" w:color="FFFFFF" w:sz="4" w:space="0"/>
            </w:tcBorders>
            <w:shd w:val="clear" w:color="B4C6E7" w:fill="B4C6E7"/>
            <w:noWrap/>
            <w:vAlign w:val="center"/>
          </w:tcPr>
          <w:p>
            <w:pPr>
              <w:jc w:val="center"/>
              <w:rPr>
                <w:rFonts w:hint="eastAsia" w:ascii="宋体" w:hAnsi="宋体" w:eastAsia="宋体" w:cs="宋体"/>
                <w:i w:val="0"/>
                <w:iCs w:val="0"/>
                <w:color w:val="000000"/>
                <w:sz w:val="22"/>
                <w:szCs w:val="22"/>
                <w:u w:val="none"/>
              </w:rPr>
            </w:pPr>
          </w:p>
        </w:tc>
        <w:tc>
          <w:tcPr>
            <w:tcW w:w="1280" w:type="dxa"/>
            <w:vMerge w:val="continue"/>
            <w:tcBorders>
              <w:top w:val="single" w:color="FFFFFF" w:sz="12" w:space="0"/>
              <w:left w:val="single" w:color="FFFFFF" w:sz="4" w:space="0"/>
              <w:bottom w:val="single" w:color="FFFFFF" w:sz="4" w:space="0"/>
              <w:right w:val="single" w:color="FFFFFF" w:sz="4" w:space="0"/>
            </w:tcBorders>
            <w:shd w:val="clear" w:color="B4C6E7" w:fill="B4C6E7"/>
            <w:noWrap/>
            <w:vAlign w:val="center"/>
          </w:tcPr>
          <w:p>
            <w:pPr>
              <w:jc w:val="center"/>
              <w:rPr>
                <w:rFonts w:hint="eastAsia" w:ascii="宋体" w:hAnsi="宋体" w:eastAsia="宋体" w:cs="宋体"/>
                <w:i w:val="0"/>
                <w:iCs w:val="0"/>
                <w:color w:val="000000"/>
                <w:sz w:val="22"/>
                <w:szCs w:val="22"/>
                <w:u w:val="none"/>
              </w:rPr>
            </w:pPr>
          </w:p>
        </w:tc>
        <w:tc>
          <w:tcPr>
            <w:tcW w:w="2330" w:type="dxa"/>
            <w:vMerge w:val="continue"/>
            <w:tcBorders>
              <w:top w:val="single" w:color="FFFFFF" w:sz="12" w:space="0"/>
              <w:left w:val="single" w:color="FFFFFF" w:sz="4" w:space="0"/>
              <w:bottom w:val="single" w:color="FFFFFF" w:sz="4" w:space="0"/>
              <w:right w:val="single" w:color="FFFFFF" w:sz="4" w:space="0"/>
            </w:tcBorders>
            <w:shd w:val="clear" w:color="B4C6E7" w:fill="B4C6E7"/>
            <w:vAlign w:val="center"/>
          </w:tcPr>
          <w:p>
            <w:pPr>
              <w:jc w:val="left"/>
              <w:rPr>
                <w:rFonts w:hint="eastAsia" w:ascii="宋体" w:hAnsi="宋体" w:eastAsia="宋体" w:cs="宋体"/>
                <w:i w:val="0"/>
                <w:iCs w:val="0"/>
                <w:color w:val="000000"/>
                <w:sz w:val="18"/>
                <w:szCs w:val="18"/>
                <w:u w:val="none"/>
              </w:rPr>
            </w:pPr>
          </w:p>
        </w:tc>
        <w:tc>
          <w:tcPr>
            <w:tcW w:w="1750" w:type="dxa"/>
            <w:vMerge w:val="continue"/>
            <w:tcBorders>
              <w:top w:val="single" w:color="FFFFFF" w:sz="12" w:space="0"/>
              <w:left w:val="single" w:color="FFFFFF" w:sz="4" w:space="0"/>
              <w:bottom w:val="single" w:color="FFFFFF" w:sz="4" w:space="0"/>
              <w:right w:val="single" w:color="FFFFFF" w:sz="4" w:space="0"/>
            </w:tcBorders>
            <w:shd w:val="clear" w:color="B4C6E7" w:fill="B4C6E7"/>
            <w:vAlign w:val="center"/>
          </w:tcPr>
          <w:p>
            <w:pPr>
              <w:jc w:val="left"/>
              <w:rPr>
                <w:rFonts w:hint="eastAsia" w:ascii="宋体" w:hAnsi="宋体" w:eastAsia="宋体" w:cs="宋体"/>
                <w:i w:val="0"/>
                <w:iCs w:val="0"/>
                <w:color w:val="000000"/>
                <w:sz w:val="18"/>
                <w:szCs w:val="18"/>
                <w:u w:val="none"/>
              </w:rPr>
            </w:pPr>
          </w:p>
        </w:tc>
        <w:tc>
          <w:tcPr>
            <w:tcW w:w="1892" w:type="dxa"/>
            <w:vMerge w:val="continue"/>
            <w:tcBorders>
              <w:top w:val="single" w:color="FFFFFF" w:sz="12" w:space="0"/>
              <w:left w:val="single" w:color="FFFFFF" w:sz="4" w:space="0"/>
              <w:bottom w:val="single" w:color="FFFFFF" w:sz="4" w:space="0"/>
              <w:right w:val="nil"/>
            </w:tcBorders>
            <w:shd w:val="clear" w:color="B4C6E7" w:fill="B4C6E7"/>
            <w:noWrap/>
            <w:vAlign w:val="center"/>
          </w:tcPr>
          <w:p>
            <w:pPr>
              <w:jc w:val="center"/>
              <w:rPr>
                <w:rFonts w:hint="eastAsia" w:ascii="宋体" w:hAnsi="宋体" w:eastAsia="宋体" w:cs="宋体"/>
                <w:i w:val="0"/>
                <w:iCs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300" w:lineRule="auto"/>
        <w:jc w:val="both"/>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highlight w:val="none"/>
        </w:rPr>
      </w:pPr>
      <w:r>
        <w:rPr>
          <w:rFonts w:hint="eastAsia" w:ascii="仿宋" w:hAnsi="仿宋" w:eastAsia="仿宋" w:cs="仿宋"/>
          <w:sz w:val="24"/>
          <w:szCs w:val="32"/>
          <w:highlight w:val="none"/>
        </w:rPr>
        <w:t>专业课复习初试建议参考阅读书目推荐：</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highlight w:val="none"/>
        </w:rPr>
      </w:pPr>
      <w:r>
        <w:rPr>
          <w:rFonts w:hint="eastAsia" w:ascii="仿宋" w:hAnsi="仿宋" w:eastAsia="仿宋" w:cs="仿宋"/>
          <w:sz w:val="24"/>
          <w:szCs w:val="32"/>
          <w:highlight w:val="none"/>
        </w:rPr>
        <w:t>1.《普通心理学》.彭聃龄.北京师范大学出版社，或其它同类参考书；</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highlight w:val="none"/>
        </w:rPr>
      </w:pPr>
      <w:r>
        <w:rPr>
          <w:rFonts w:hint="eastAsia" w:ascii="仿宋" w:hAnsi="仿宋" w:eastAsia="仿宋" w:cs="仿宋"/>
          <w:sz w:val="24"/>
          <w:szCs w:val="32"/>
          <w:highlight w:val="none"/>
        </w:rPr>
        <w:t>2.《实验心理学》.白学军等.中国人民大学大出版社，或其它同类参考书；</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highlight w:val="none"/>
        </w:rPr>
      </w:pPr>
      <w:r>
        <w:rPr>
          <w:rFonts w:hint="eastAsia" w:ascii="仿宋" w:hAnsi="仿宋" w:eastAsia="仿宋" w:cs="仿宋"/>
          <w:sz w:val="24"/>
          <w:szCs w:val="32"/>
          <w:highlight w:val="none"/>
        </w:rPr>
        <w:t>3.《教育与心理统计》.张敏强.人民教育出版社，或其它同类参考书；</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highlight w:val="none"/>
        </w:rPr>
      </w:pPr>
      <w:r>
        <w:rPr>
          <w:rFonts w:hint="eastAsia" w:ascii="仿宋" w:hAnsi="仿宋" w:eastAsia="仿宋" w:cs="仿宋"/>
          <w:sz w:val="24"/>
          <w:szCs w:val="32"/>
          <w:highlight w:val="none"/>
        </w:rPr>
        <w:t>4.《教育心理学》.莫雷.教育科学出版社，或其它同类参考书；</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highlight w:val="none"/>
        </w:rPr>
      </w:pPr>
      <w:r>
        <w:rPr>
          <w:rFonts w:hint="eastAsia" w:ascii="仿宋" w:hAnsi="仿宋" w:eastAsia="仿宋" w:cs="仿宋"/>
          <w:sz w:val="24"/>
          <w:szCs w:val="32"/>
          <w:highlight w:val="none"/>
        </w:rPr>
        <w:t>5.《社会心理学》.郑雪.暨南大学出版社，或其它同类参考书；</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highlight w:val="none"/>
        </w:rPr>
      </w:pPr>
      <w:r>
        <w:rPr>
          <w:rFonts w:hint="eastAsia" w:ascii="仿宋" w:hAnsi="仿宋" w:eastAsia="仿宋" w:cs="仿宋"/>
          <w:sz w:val="24"/>
          <w:szCs w:val="32"/>
          <w:highlight w:val="none"/>
        </w:rPr>
        <w:t>6.《人格心理学》.郑雪.暨南大学出版社，或其它同类参考书；</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highlight w:val="none"/>
        </w:rPr>
      </w:pPr>
      <w:r>
        <w:rPr>
          <w:rFonts w:hint="eastAsia" w:ascii="仿宋" w:hAnsi="仿宋" w:eastAsia="仿宋" w:cs="仿宋"/>
          <w:sz w:val="24"/>
          <w:szCs w:val="32"/>
          <w:highlight w:val="none"/>
        </w:rPr>
        <w:t>7.《心理咨询原理与方法》.郑希付.人民教育出版社，或其它同类参考书。</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highlight w:val="none"/>
        </w:rPr>
      </w:pPr>
      <w:r>
        <w:rPr>
          <w:rFonts w:hint="eastAsia" w:ascii="仿宋" w:hAnsi="仿宋" w:eastAsia="仿宋" w:cs="仿宋"/>
          <w:sz w:val="24"/>
          <w:szCs w:val="32"/>
          <w:highlight w:val="none"/>
        </w:rPr>
        <w:t>复试学习参考书推荐：</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highlight w:val="none"/>
        </w:rPr>
      </w:pPr>
      <w:r>
        <w:rPr>
          <w:rFonts w:hint="eastAsia" w:ascii="仿宋" w:hAnsi="仿宋" w:eastAsia="仿宋" w:cs="仿宋"/>
          <w:sz w:val="24"/>
          <w:szCs w:val="32"/>
          <w:highlight w:val="none"/>
        </w:rPr>
        <w:t>1.《普通心理学》.彭聃龄.北京师范大学出版社.或其它同类参考书；</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highlight w:val="none"/>
        </w:rPr>
      </w:pPr>
      <w:r>
        <w:rPr>
          <w:rFonts w:hint="eastAsia" w:ascii="仿宋" w:hAnsi="仿宋" w:eastAsia="仿宋" w:cs="仿宋"/>
          <w:sz w:val="24"/>
          <w:szCs w:val="32"/>
          <w:highlight w:val="none"/>
        </w:rPr>
        <w:t>2.《实验心理学》.白学军等.中国人民大学大出版社，或其它同类参考书；</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highlight w:val="none"/>
        </w:rPr>
      </w:pPr>
      <w:r>
        <w:rPr>
          <w:rFonts w:hint="eastAsia" w:ascii="仿宋" w:hAnsi="仿宋" w:eastAsia="仿宋" w:cs="仿宋"/>
          <w:sz w:val="24"/>
          <w:szCs w:val="32"/>
          <w:highlight w:val="none"/>
        </w:rPr>
        <w:t>3.《教育与心理统计》.张敏强.人民教育出版社，或其它同类参考书；</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highlight w:val="none"/>
        </w:rPr>
      </w:pPr>
      <w:r>
        <w:rPr>
          <w:rFonts w:hint="eastAsia" w:ascii="仿宋" w:hAnsi="仿宋" w:eastAsia="仿宋" w:cs="仿宋"/>
          <w:sz w:val="24"/>
          <w:szCs w:val="32"/>
          <w:highlight w:val="none"/>
        </w:rPr>
        <w:t>4.《心理学研究方法》.莫雷等著.广东高等教育出版社，或其它同类参考书；</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highlight w:val="none"/>
        </w:rPr>
      </w:pPr>
      <w:r>
        <w:rPr>
          <w:rFonts w:hint="eastAsia" w:ascii="仿宋" w:hAnsi="仿宋" w:eastAsia="仿宋" w:cs="仿宋"/>
          <w:sz w:val="24"/>
          <w:szCs w:val="32"/>
          <w:highlight w:val="none"/>
        </w:rPr>
        <w:t>5.《心理测量学》.戴海琦.高等教育出版社，或其它同类参考书。</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highlight w:val="none"/>
        </w:rPr>
      </w:pPr>
      <w:r>
        <w:rPr>
          <w:rFonts w:hint="eastAsia" w:ascii="仿宋" w:hAnsi="仿宋" w:eastAsia="仿宋" w:cs="仿宋"/>
          <w:sz w:val="24"/>
          <w:szCs w:val="32"/>
          <w:highlight w:val="none"/>
        </w:rPr>
        <w:t>初试科目101思想政治理论、204英语二，我办无参考书推荐意见，请自行选购复习资料。</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 w:hAnsi="仿宋" w:eastAsia="仿宋" w:cs="仿宋"/>
          <w:sz w:val="24"/>
          <w:szCs w:val="32"/>
          <w:highlight w:val="none"/>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 w:hAnsi="仿宋" w:eastAsia="仿宋" w:cs="仿宋"/>
          <w:sz w:val="24"/>
          <w:szCs w:val="32"/>
          <w:highlight w:val="none"/>
        </w:rPr>
      </w:pPr>
      <w:r>
        <w:rPr>
          <w:rFonts w:hint="eastAsia" w:ascii="仿宋" w:hAnsi="仿宋" w:eastAsia="仿宋" w:cs="仿宋"/>
          <w:b/>
          <w:bCs/>
          <w:sz w:val="24"/>
          <w:szCs w:val="32"/>
          <w:highlight w:val="none"/>
        </w:rPr>
        <w:t>三、报考条件</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highlight w:val="none"/>
        </w:rPr>
      </w:pPr>
      <w:r>
        <w:rPr>
          <w:rFonts w:hint="eastAsia" w:ascii="仿宋" w:hAnsi="仿宋" w:eastAsia="仿宋" w:cs="仿宋"/>
          <w:sz w:val="24"/>
          <w:szCs w:val="32"/>
          <w:highlight w:val="none"/>
        </w:rPr>
        <w:t xml:space="preserve">报名参加全国硕士研究生招生考试的人员，须符合下列条件： </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highlight w:val="none"/>
        </w:rPr>
      </w:pPr>
      <w:r>
        <w:rPr>
          <w:rFonts w:hint="eastAsia" w:ascii="仿宋" w:hAnsi="仿宋" w:eastAsia="仿宋" w:cs="仿宋"/>
          <w:sz w:val="24"/>
          <w:szCs w:val="32"/>
          <w:highlight w:val="none"/>
        </w:rPr>
        <w:t>1.中华人民共和国公民。</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highlight w:val="none"/>
        </w:rPr>
      </w:pPr>
      <w:r>
        <w:rPr>
          <w:rFonts w:hint="eastAsia" w:ascii="仿宋" w:hAnsi="仿宋" w:eastAsia="仿宋" w:cs="仿宋"/>
          <w:sz w:val="24"/>
          <w:szCs w:val="32"/>
          <w:highlight w:val="none"/>
        </w:rPr>
        <w:t>2.拥护中国共产党的领导，品德良好，遵纪守法。</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highlight w:val="none"/>
        </w:rPr>
      </w:pPr>
      <w:r>
        <w:rPr>
          <w:rFonts w:hint="eastAsia" w:ascii="仿宋" w:hAnsi="仿宋" w:eastAsia="仿宋" w:cs="仿宋"/>
          <w:sz w:val="24"/>
          <w:szCs w:val="32"/>
          <w:highlight w:val="none"/>
        </w:rPr>
        <w:t>3.身体健康状况符合国家和招生单位规定的体检要求。</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highlight w:val="none"/>
        </w:rPr>
      </w:pPr>
      <w:r>
        <w:rPr>
          <w:rFonts w:hint="eastAsia" w:ascii="仿宋" w:hAnsi="仿宋" w:eastAsia="仿宋" w:cs="仿宋"/>
          <w:sz w:val="24"/>
          <w:szCs w:val="32"/>
          <w:highlight w:val="none"/>
        </w:rPr>
        <w:t>4.考生学业水平必须符合下列条件之一：</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highlight w:val="none"/>
        </w:rPr>
      </w:pPr>
      <w:r>
        <w:rPr>
          <w:rFonts w:hint="eastAsia" w:ascii="仿宋" w:hAnsi="仿宋" w:eastAsia="仿宋" w:cs="仿宋"/>
          <w:sz w:val="24"/>
          <w:szCs w:val="32"/>
          <w:highlight w:val="none"/>
        </w:rPr>
        <w:t>（1）具有国家承认的大学本科毕业学历的社会在职人员。</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highlight w:val="none"/>
        </w:rPr>
      </w:pPr>
      <w:r>
        <w:rPr>
          <w:rFonts w:hint="eastAsia" w:ascii="仿宋" w:hAnsi="仿宋" w:eastAsia="仿宋" w:cs="仿宋"/>
          <w:sz w:val="24"/>
          <w:szCs w:val="32"/>
          <w:highlight w:val="none"/>
        </w:rPr>
        <w:t>（</w:t>
      </w:r>
      <w:r>
        <w:rPr>
          <w:rFonts w:hint="eastAsia" w:ascii="仿宋" w:hAnsi="仿宋" w:eastAsia="仿宋" w:cs="仿宋"/>
          <w:sz w:val="24"/>
          <w:szCs w:val="32"/>
          <w:highlight w:val="none"/>
          <w:lang w:val="en-US" w:eastAsia="zh-CN"/>
        </w:rPr>
        <w:t>2</w:t>
      </w:r>
      <w:r>
        <w:rPr>
          <w:rFonts w:hint="eastAsia" w:ascii="仿宋" w:hAnsi="仿宋" w:eastAsia="仿宋" w:cs="仿宋"/>
          <w:sz w:val="24"/>
          <w:szCs w:val="32"/>
          <w:highlight w:val="none"/>
        </w:rPr>
        <w:t>）已获硕士、博士学位的社会在职人员。</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highlight w:val="none"/>
        </w:rPr>
      </w:pPr>
      <w:r>
        <w:rPr>
          <w:rFonts w:hint="eastAsia" w:ascii="仿宋" w:hAnsi="仿宋" w:eastAsia="仿宋" w:cs="仿宋"/>
          <w:sz w:val="24"/>
          <w:szCs w:val="32"/>
          <w:highlight w:val="none"/>
        </w:rPr>
        <w:t>5.考生报考须在报名前征得所在培养单位同意。</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 w:hAnsi="仿宋" w:eastAsia="仿宋" w:cs="仿宋"/>
          <w:sz w:val="24"/>
          <w:szCs w:val="32"/>
          <w:highlight w:val="none"/>
        </w:rPr>
      </w:pP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 w:hAnsi="仿宋" w:eastAsia="仿宋" w:cs="仿宋"/>
          <w:sz w:val="24"/>
          <w:szCs w:val="32"/>
        </w:rPr>
      </w:pPr>
      <w:r>
        <w:rPr>
          <w:rFonts w:hint="eastAsia" w:ascii="仿宋" w:hAnsi="仿宋" w:eastAsia="仿宋" w:cs="仿宋"/>
          <w:b/>
          <w:bCs/>
          <w:sz w:val="24"/>
          <w:szCs w:val="32"/>
        </w:rPr>
        <w:t>四、报名办法</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highlight w:val="none"/>
        </w:rPr>
      </w:pPr>
      <w:r>
        <w:rPr>
          <w:rFonts w:hint="eastAsia" w:ascii="仿宋" w:hAnsi="仿宋" w:eastAsia="仿宋" w:cs="仿宋"/>
          <w:sz w:val="24"/>
          <w:szCs w:val="32"/>
          <w:highlight w:val="none"/>
        </w:rPr>
        <w:t>202</w:t>
      </w:r>
      <w:r>
        <w:rPr>
          <w:rFonts w:hint="eastAsia" w:ascii="仿宋" w:hAnsi="仿宋" w:eastAsia="仿宋" w:cs="仿宋"/>
          <w:sz w:val="24"/>
          <w:szCs w:val="32"/>
          <w:highlight w:val="none"/>
          <w:lang w:val="en-US" w:eastAsia="zh-CN"/>
        </w:rPr>
        <w:t>4</w:t>
      </w:r>
      <w:r>
        <w:rPr>
          <w:rFonts w:hint="eastAsia" w:ascii="仿宋" w:hAnsi="仿宋" w:eastAsia="仿宋" w:cs="仿宋"/>
          <w:sz w:val="24"/>
          <w:szCs w:val="32"/>
          <w:highlight w:val="none"/>
        </w:rPr>
        <w:t>级招生报名分“网上报名”和“网络确认”两个阶段：网上报名日期为202</w:t>
      </w:r>
      <w:r>
        <w:rPr>
          <w:rFonts w:hint="eastAsia" w:ascii="仿宋" w:hAnsi="仿宋" w:eastAsia="仿宋" w:cs="仿宋"/>
          <w:sz w:val="24"/>
          <w:szCs w:val="32"/>
          <w:highlight w:val="none"/>
          <w:lang w:val="en-US" w:eastAsia="zh-CN"/>
        </w:rPr>
        <w:t>3</w:t>
      </w:r>
      <w:r>
        <w:rPr>
          <w:rFonts w:hint="eastAsia" w:ascii="仿宋" w:hAnsi="仿宋" w:eastAsia="仿宋" w:cs="仿宋"/>
          <w:sz w:val="24"/>
          <w:szCs w:val="32"/>
          <w:highlight w:val="none"/>
        </w:rPr>
        <w:t>年10月</w:t>
      </w:r>
      <w:r>
        <w:rPr>
          <w:rFonts w:hint="eastAsia" w:ascii="仿宋" w:hAnsi="仿宋" w:eastAsia="仿宋" w:cs="仿宋"/>
          <w:sz w:val="24"/>
          <w:szCs w:val="32"/>
          <w:highlight w:val="none"/>
          <w:lang w:val="en-US" w:eastAsia="zh-CN"/>
        </w:rPr>
        <w:t>8</w:t>
      </w:r>
      <w:r>
        <w:rPr>
          <w:rFonts w:hint="eastAsia" w:ascii="仿宋" w:hAnsi="仿宋" w:eastAsia="仿宋" w:cs="仿宋"/>
          <w:sz w:val="24"/>
          <w:szCs w:val="32"/>
          <w:highlight w:val="none"/>
        </w:rPr>
        <w:t>日至10月25日，每天9:00—22:00；华南师范大学报考点网络确认时间由省级教育招生考试机构根据国家招生工作安排和本地区报考组织情况确定和公布，详情可查阅《华南师范大学202</w:t>
      </w:r>
      <w:r>
        <w:rPr>
          <w:rFonts w:hint="eastAsia" w:ascii="仿宋" w:hAnsi="仿宋" w:eastAsia="仿宋" w:cs="仿宋"/>
          <w:sz w:val="24"/>
          <w:szCs w:val="32"/>
          <w:highlight w:val="none"/>
          <w:lang w:val="en-US" w:eastAsia="zh-CN"/>
        </w:rPr>
        <w:t>4</w:t>
      </w:r>
      <w:r>
        <w:rPr>
          <w:rFonts w:hint="eastAsia" w:ascii="仿宋" w:hAnsi="仿宋" w:eastAsia="仿宋" w:cs="仿宋"/>
          <w:sz w:val="24"/>
          <w:szCs w:val="32"/>
          <w:highlight w:val="none"/>
        </w:rPr>
        <w:t>年硕士报考点（4415）公告》（https://yz.scnu.edu.cn/a/20230923/573.html）；选择其他报考点的考生应留意报考点的公告，在规定的时间进行网络确认。所有参加硕士研究生招生考试的考生均须进行网上报名，并到报考点现场确认网报信息、缴费和采集本人图像等相关电子信息。</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highlight w:val="none"/>
        </w:rPr>
      </w:pPr>
      <w:r>
        <w:rPr>
          <w:rFonts w:hint="eastAsia" w:ascii="仿宋" w:hAnsi="仿宋" w:eastAsia="仿宋" w:cs="仿宋"/>
          <w:sz w:val="24"/>
          <w:szCs w:val="32"/>
          <w:highlight w:val="none"/>
        </w:rPr>
        <w:t>我院非全日制应用心理硕士报名办法，与该专业全日制考生报名办法相同，详情请参阅《华南师范大学202</w:t>
      </w:r>
      <w:r>
        <w:rPr>
          <w:rFonts w:hint="eastAsia" w:ascii="仿宋" w:hAnsi="仿宋" w:eastAsia="仿宋" w:cs="仿宋"/>
          <w:sz w:val="24"/>
          <w:szCs w:val="32"/>
          <w:highlight w:val="none"/>
          <w:lang w:val="en-US" w:eastAsia="zh-CN"/>
        </w:rPr>
        <w:t>4</w:t>
      </w:r>
      <w:r>
        <w:rPr>
          <w:rFonts w:hint="eastAsia" w:ascii="仿宋" w:hAnsi="仿宋" w:eastAsia="仿宋" w:cs="仿宋"/>
          <w:sz w:val="24"/>
          <w:szCs w:val="32"/>
          <w:highlight w:val="none"/>
        </w:rPr>
        <w:t>年硕士研究生招生简章》（网址为：https://yz.scnu.edu.cn/a/20230919/571.html）。</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rPr>
      </w:pP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 w:hAnsi="仿宋" w:eastAsia="仿宋" w:cs="仿宋"/>
          <w:sz w:val="24"/>
          <w:szCs w:val="32"/>
        </w:rPr>
      </w:pPr>
      <w:r>
        <w:rPr>
          <w:rFonts w:hint="eastAsia" w:ascii="仿宋" w:hAnsi="仿宋" w:eastAsia="仿宋" w:cs="仿宋"/>
          <w:b/>
          <w:bCs/>
          <w:sz w:val="24"/>
          <w:szCs w:val="32"/>
        </w:rPr>
        <w:t>五、考生报考资格审查</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rPr>
      </w:pPr>
      <w:r>
        <w:rPr>
          <w:rFonts w:hint="eastAsia" w:ascii="仿宋" w:hAnsi="仿宋" w:eastAsia="仿宋" w:cs="仿宋"/>
          <w:sz w:val="24"/>
          <w:szCs w:val="32"/>
        </w:rPr>
        <w:t>学校对考生网上填报的报名信息进行全面审查，并重点核查考生填报的学历（学籍）信息，符合报考条件的考生准予考试。未通过网上学历（学籍）校验的考生，我校将要求其在规定时间内提供权威机构出具的认证报告后，再准予考试。</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rPr>
      </w:pP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 w:hAnsi="仿宋" w:eastAsia="仿宋" w:cs="仿宋"/>
          <w:sz w:val="24"/>
          <w:szCs w:val="32"/>
        </w:rPr>
      </w:pPr>
      <w:r>
        <w:rPr>
          <w:rFonts w:hint="eastAsia" w:ascii="仿宋" w:hAnsi="仿宋" w:eastAsia="仿宋" w:cs="仿宋"/>
          <w:b/>
          <w:bCs/>
          <w:sz w:val="24"/>
          <w:szCs w:val="32"/>
        </w:rPr>
        <w:t>六、初试、复试与录取</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highlight w:val="none"/>
        </w:rPr>
      </w:pPr>
      <w:r>
        <w:rPr>
          <w:rFonts w:hint="eastAsia" w:ascii="仿宋" w:hAnsi="仿宋" w:eastAsia="仿宋" w:cs="仿宋"/>
          <w:sz w:val="24"/>
          <w:szCs w:val="32"/>
          <w:highlight w:val="none"/>
        </w:rPr>
        <w:t>我院应用心理专业（授应用心理硕士学位）的非全日制研究生入学考试与该专业的全日制研究生入学考试的时间与内容都相同，初试、复试与录取工作均同步进行，初试需达到国家线才有机会参加复试（2018级、2019级非全日制应用心理硕士复试线均为320分，2020级复试线330分，2021级复试线337分</w:t>
      </w:r>
      <w:r>
        <w:rPr>
          <w:rFonts w:hint="eastAsia" w:ascii="仿宋" w:hAnsi="仿宋" w:eastAsia="仿宋" w:cs="仿宋"/>
          <w:sz w:val="24"/>
          <w:szCs w:val="32"/>
          <w:highlight w:val="none"/>
          <w:lang w:eastAsia="zh-CN"/>
        </w:rPr>
        <w:t>，</w:t>
      </w:r>
      <w:r>
        <w:rPr>
          <w:rFonts w:hint="eastAsia" w:ascii="仿宋" w:hAnsi="仿宋" w:eastAsia="仿宋" w:cs="仿宋"/>
          <w:sz w:val="24"/>
          <w:szCs w:val="32"/>
          <w:highlight w:val="none"/>
          <w:lang w:val="en-US" w:eastAsia="zh-CN"/>
        </w:rPr>
        <w:t>2022级复试线360分，2023级复试线350分</w:t>
      </w:r>
      <w:r>
        <w:rPr>
          <w:rFonts w:hint="eastAsia" w:ascii="仿宋" w:hAnsi="仿宋" w:eastAsia="仿宋" w:cs="仿宋"/>
          <w:sz w:val="24"/>
          <w:szCs w:val="32"/>
          <w:highlight w:val="none"/>
        </w:rPr>
        <w:t>）。202</w:t>
      </w:r>
      <w:r>
        <w:rPr>
          <w:rFonts w:hint="eastAsia" w:ascii="仿宋" w:hAnsi="仿宋" w:eastAsia="仿宋" w:cs="仿宋"/>
          <w:sz w:val="24"/>
          <w:szCs w:val="32"/>
          <w:highlight w:val="none"/>
          <w:lang w:val="en-US" w:eastAsia="zh-CN"/>
        </w:rPr>
        <w:t>4</w:t>
      </w:r>
      <w:r>
        <w:rPr>
          <w:rFonts w:hint="eastAsia" w:ascii="仿宋" w:hAnsi="仿宋" w:eastAsia="仿宋" w:cs="仿宋"/>
          <w:sz w:val="24"/>
          <w:szCs w:val="32"/>
          <w:highlight w:val="none"/>
        </w:rPr>
        <w:t>年全国硕士研究生招生考试初试时间为20</w:t>
      </w:r>
      <w:r>
        <w:rPr>
          <w:rFonts w:hint="eastAsia" w:ascii="仿宋" w:hAnsi="仿宋" w:eastAsia="仿宋" w:cs="仿宋"/>
          <w:sz w:val="24"/>
          <w:szCs w:val="32"/>
          <w:highlight w:val="none"/>
          <w:lang w:val="en-US" w:eastAsia="zh-CN"/>
        </w:rPr>
        <w:t>23</w:t>
      </w:r>
      <w:r>
        <w:rPr>
          <w:rFonts w:hint="eastAsia" w:ascii="仿宋" w:hAnsi="仿宋" w:eastAsia="仿宋" w:cs="仿宋"/>
          <w:sz w:val="24"/>
          <w:szCs w:val="32"/>
          <w:highlight w:val="none"/>
        </w:rPr>
        <w:t>年12月2</w:t>
      </w:r>
      <w:r>
        <w:rPr>
          <w:rFonts w:hint="eastAsia" w:ascii="仿宋" w:hAnsi="仿宋" w:eastAsia="仿宋" w:cs="仿宋"/>
          <w:sz w:val="24"/>
          <w:szCs w:val="32"/>
          <w:highlight w:val="none"/>
          <w:lang w:val="en-US" w:eastAsia="zh-CN"/>
        </w:rPr>
        <w:t>3</w:t>
      </w:r>
      <w:r>
        <w:rPr>
          <w:rFonts w:hint="eastAsia" w:ascii="仿宋" w:hAnsi="仿宋" w:eastAsia="仿宋" w:cs="仿宋"/>
          <w:sz w:val="24"/>
          <w:szCs w:val="32"/>
          <w:highlight w:val="none"/>
        </w:rPr>
        <w:t>日至2</w:t>
      </w:r>
      <w:r>
        <w:rPr>
          <w:rFonts w:hint="eastAsia" w:ascii="仿宋" w:hAnsi="仿宋" w:eastAsia="仿宋" w:cs="仿宋"/>
          <w:sz w:val="24"/>
          <w:szCs w:val="32"/>
          <w:highlight w:val="none"/>
          <w:lang w:val="en-US" w:eastAsia="zh-CN"/>
        </w:rPr>
        <w:t>4</w:t>
      </w:r>
      <w:r>
        <w:rPr>
          <w:rFonts w:hint="eastAsia" w:ascii="仿宋" w:hAnsi="仿宋" w:eastAsia="仿宋" w:cs="仿宋"/>
          <w:sz w:val="24"/>
          <w:szCs w:val="32"/>
          <w:highlight w:val="none"/>
        </w:rPr>
        <w:t>日（每天上午8:30—11:30，下午14:00—17:00），预估复试及录取工作在202</w:t>
      </w:r>
      <w:r>
        <w:rPr>
          <w:rFonts w:hint="eastAsia" w:ascii="仿宋" w:hAnsi="仿宋" w:eastAsia="仿宋" w:cs="仿宋"/>
          <w:sz w:val="24"/>
          <w:szCs w:val="32"/>
          <w:highlight w:val="none"/>
          <w:lang w:val="en-US" w:eastAsia="zh-CN"/>
        </w:rPr>
        <w:t>4</w:t>
      </w:r>
      <w:r>
        <w:rPr>
          <w:rFonts w:hint="eastAsia" w:ascii="仿宋" w:hAnsi="仿宋" w:eastAsia="仿宋" w:cs="仿宋"/>
          <w:sz w:val="24"/>
          <w:szCs w:val="32"/>
          <w:highlight w:val="none"/>
        </w:rPr>
        <w:t>年3-4月，录取通知书发放时间预估为202</w:t>
      </w:r>
      <w:r>
        <w:rPr>
          <w:rFonts w:hint="eastAsia" w:ascii="仿宋" w:hAnsi="仿宋" w:eastAsia="仿宋" w:cs="仿宋"/>
          <w:sz w:val="24"/>
          <w:szCs w:val="32"/>
          <w:highlight w:val="none"/>
          <w:lang w:val="en-US" w:eastAsia="zh-CN"/>
        </w:rPr>
        <w:t>4</w:t>
      </w:r>
      <w:r>
        <w:rPr>
          <w:rFonts w:hint="eastAsia" w:ascii="仿宋" w:hAnsi="仿宋" w:eastAsia="仿宋" w:cs="仿宋"/>
          <w:sz w:val="24"/>
          <w:szCs w:val="32"/>
          <w:highlight w:val="none"/>
        </w:rPr>
        <w:t>年6月。</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rPr>
      </w:pP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 w:hAnsi="仿宋" w:eastAsia="仿宋" w:cs="仿宋"/>
          <w:sz w:val="24"/>
          <w:szCs w:val="32"/>
        </w:rPr>
      </w:pPr>
      <w:r>
        <w:rPr>
          <w:rFonts w:hint="eastAsia" w:ascii="仿宋" w:hAnsi="仿宋" w:eastAsia="仿宋" w:cs="仿宋"/>
          <w:b/>
          <w:bCs/>
          <w:sz w:val="24"/>
          <w:szCs w:val="32"/>
        </w:rPr>
        <w:t>七、其他说明</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rPr>
      </w:pPr>
      <w:r>
        <w:rPr>
          <w:rFonts w:hint="eastAsia" w:ascii="仿宋" w:hAnsi="仿宋" w:eastAsia="仿宋" w:cs="仿宋"/>
          <w:sz w:val="24"/>
          <w:szCs w:val="32"/>
        </w:rPr>
        <w:t>1.本文所说的在职硕士意指“非全日制”学习形式的硕士。全日制和非全日制研究生考试招生依据国家统一要求，执行相同的政策和标准；非全日制考生和全日制考生的考试内容、考试时间</w:t>
      </w:r>
      <w:r>
        <w:rPr>
          <w:rFonts w:hint="eastAsia" w:ascii="仿宋" w:hAnsi="仿宋" w:eastAsia="仿宋" w:cs="仿宋"/>
          <w:sz w:val="24"/>
          <w:szCs w:val="32"/>
          <w:lang w:eastAsia="zh-CN"/>
        </w:rPr>
        <w:t>、</w:t>
      </w:r>
      <w:r>
        <w:rPr>
          <w:rFonts w:hint="eastAsia" w:ascii="仿宋" w:hAnsi="仿宋" w:eastAsia="仿宋" w:cs="仿宋"/>
          <w:sz w:val="24"/>
          <w:szCs w:val="32"/>
        </w:rPr>
        <w:t>考试形式都相同，但非全日制硕士招生指标单列，因而不存在和全日制考生竞争录取的问题。以我校应用心理硕士为例，大多数时候全日制MAP的录取分数线比非全日制MAP的分数高30—40分。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highlight w:val="none"/>
        </w:rPr>
      </w:pPr>
      <w:r>
        <w:rPr>
          <w:rFonts w:hint="eastAsia" w:ascii="仿宋" w:hAnsi="仿宋" w:eastAsia="仿宋" w:cs="仿宋"/>
          <w:sz w:val="24"/>
          <w:szCs w:val="32"/>
          <w:highlight w:val="none"/>
        </w:rPr>
        <w:t>2.关于上课时间，我院在职应用心理硕士主要集中在周末上课（平均每学期要上课</w:t>
      </w:r>
      <w:r>
        <w:rPr>
          <w:rFonts w:hint="eastAsia" w:ascii="仿宋" w:hAnsi="仿宋" w:eastAsia="仿宋" w:cs="仿宋"/>
          <w:sz w:val="24"/>
          <w:szCs w:val="32"/>
          <w:highlight w:val="none"/>
          <w:lang w:val="en-US" w:eastAsia="zh-CN"/>
        </w:rPr>
        <w:t>10</w:t>
      </w:r>
      <w:r>
        <w:rPr>
          <w:rFonts w:hint="eastAsia" w:ascii="仿宋" w:hAnsi="仿宋" w:eastAsia="仿宋" w:cs="仿宋"/>
          <w:sz w:val="24"/>
          <w:szCs w:val="32"/>
          <w:highlight w:val="none"/>
        </w:rPr>
        <w:t>个周末左右，估计累计统一集中面授时间在70天左右（不含实习实践、各自导师安排的教学活动和学生本人自愿参加的各类讲座、工作坊等）；学生上课期间发生的差旅住宿费等由学生本人自理，学校不承担。</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highlight w:val="none"/>
        </w:rPr>
      </w:pPr>
      <w:r>
        <w:rPr>
          <w:rFonts w:hint="eastAsia" w:ascii="仿宋" w:hAnsi="仿宋" w:eastAsia="仿宋" w:cs="仿宋"/>
          <w:sz w:val="24"/>
          <w:szCs w:val="32"/>
          <w:highlight w:val="none"/>
        </w:rPr>
        <w:t>3.关于上课地点，在华南师范大学天河石牌校区心理学院院内。</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highlight w:val="none"/>
        </w:rPr>
      </w:pPr>
      <w:r>
        <w:rPr>
          <w:rFonts w:hint="eastAsia" w:ascii="仿宋" w:hAnsi="仿宋" w:eastAsia="仿宋" w:cs="仿宋"/>
          <w:sz w:val="24"/>
          <w:szCs w:val="32"/>
          <w:highlight w:val="none"/>
        </w:rPr>
        <w:t>4.关于导师选择，我院实行“双向选择”制度，即学生可以在全院导师当中自由挑选导师，但需征得该导师的同意后，双方才能确定指导与被指导关系；导师选择一般安排第一学期。</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highlight w:val="none"/>
        </w:rPr>
      </w:pPr>
      <w:r>
        <w:rPr>
          <w:rFonts w:hint="eastAsia" w:ascii="仿宋" w:hAnsi="仿宋" w:eastAsia="仿宋" w:cs="仿宋"/>
          <w:sz w:val="24"/>
          <w:szCs w:val="32"/>
          <w:highlight w:val="none"/>
          <w:lang w:val="en-US" w:eastAsia="zh-CN"/>
        </w:rPr>
        <w:t>5</w:t>
      </w:r>
      <w:r>
        <w:rPr>
          <w:rFonts w:hint="eastAsia" w:ascii="仿宋" w:hAnsi="仿宋" w:eastAsia="仿宋" w:cs="仿宋"/>
          <w:sz w:val="24"/>
          <w:szCs w:val="32"/>
          <w:highlight w:val="none"/>
        </w:rPr>
        <w:t>.关于只招定向考生，意指考生报名时有工作单位（在工商或政府部门备案，合法的单位即可），且需征得本人工作单位同意，录取时考生须与所在单位及我校签订定向培养协议（模板见我校研究生招生信息网——资料下载栏，网址：http://yz.scnu.edu.cn/ziliaoxiazai/）；考生就读期间，其档案及户口、工资等关系不转入我校；考生毕业后，学校不再推荐考生就业，也不派发就业派遣证（就业报到证）。</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rPr>
      </w:pPr>
      <w:r>
        <w:rPr>
          <w:rFonts w:hint="eastAsia" w:ascii="仿宋" w:hAnsi="仿宋" w:eastAsia="仿宋" w:cs="仿宋"/>
          <w:sz w:val="24"/>
          <w:szCs w:val="32"/>
          <w:highlight w:val="none"/>
          <w:lang w:val="en-US" w:eastAsia="zh-CN"/>
        </w:rPr>
        <w:t>6</w:t>
      </w:r>
      <w:r>
        <w:rPr>
          <w:rFonts w:hint="eastAsia" w:ascii="仿宋" w:hAnsi="仿宋" w:eastAsia="仿宋" w:cs="仿宋"/>
          <w:sz w:val="24"/>
          <w:szCs w:val="32"/>
          <w:highlight w:val="none"/>
        </w:rPr>
        <w:t>.关于就读期间学生更换工作单位，学生在读期间如发生更换工作单位等与培养学习无关的事情，我院一般都</w:t>
      </w:r>
      <w:r>
        <w:rPr>
          <w:rFonts w:hint="eastAsia" w:ascii="仿宋" w:hAnsi="仿宋" w:eastAsia="仿宋" w:cs="仿宋"/>
          <w:sz w:val="24"/>
          <w:szCs w:val="32"/>
        </w:rPr>
        <w:t>会尊重学生及其工作单位的意愿，不会横加干涉。</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7</w:t>
      </w:r>
      <w:r>
        <w:rPr>
          <w:rFonts w:hint="eastAsia" w:ascii="仿宋" w:hAnsi="仿宋" w:eastAsia="仿宋" w:cs="仿宋"/>
          <w:sz w:val="24"/>
          <w:szCs w:val="32"/>
        </w:rPr>
        <w:t>.关于学费，我校非全日制应用心理硕士的学费为48000元/年，三年共144000元，分三年交。</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8</w:t>
      </w:r>
      <w:r>
        <w:rPr>
          <w:rFonts w:hint="eastAsia" w:ascii="仿宋" w:hAnsi="仿宋" w:eastAsia="仿宋" w:cs="仿宋"/>
          <w:sz w:val="24"/>
          <w:szCs w:val="32"/>
        </w:rPr>
        <w:t>.关于奖助学金，非全日制硕士研究生在读期间不享受国家生活补助，目前学校也没有任何针对非全日制学生的奖学金、助学金或贷款。</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rPr>
      </w:pPr>
      <w:r>
        <w:rPr>
          <w:rFonts w:hint="eastAsia" w:ascii="仿宋" w:hAnsi="仿宋" w:eastAsia="仿宋" w:cs="仿宋"/>
          <w:sz w:val="24"/>
          <w:szCs w:val="32"/>
          <w:lang w:val="en-US" w:eastAsia="zh-CN"/>
        </w:rPr>
        <w:t>9</w:t>
      </w:r>
      <w:r>
        <w:rPr>
          <w:rFonts w:hint="eastAsia" w:ascii="仿宋" w:hAnsi="仿宋" w:eastAsia="仿宋" w:cs="仿宋"/>
          <w:sz w:val="24"/>
          <w:szCs w:val="32"/>
        </w:rPr>
        <w:t>.本招生信息如果与我校招生网页公布的信息有不一致之处，请以学校正式公布的信息为准；报考前请认真查阅我校研究生招生信息网页（http://yz.scnu.edu.cn/）公布的相关信息。</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highlight w:val="none"/>
        </w:rPr>
      </w:pPr>
      <w:r>
        <w:rPr>
          <w:rFonts w:hint="eastAsia" w:ascii="仿宋" w:hAnsi="仿宋" w:eastAsia="仿宋" w:cs="仿宋"/>
          <w:sz w:val="24"/>
          <w:szCs w:val="32"/>
        </w:rPr>
        <w:t>1</w:t>
      </w:r>
      <w:r>
        <w:rPr>
          <w:rFonts w:hint="eastAsia" w:ascii="仿宋" w:hAnsi="仿宋" w:eastAsia="仿宋" w:cs="仿宋"/>
          <w:sz w:val="24"/>
          <w:szCs w:val="32"/>
          <w:lang w:val="en-US" w:eastAsia="zh-CN"/>
        </w:rPr>
        <w:t>0</w:t>
      </w:r>
      <w:r>
        <w:rPr>
          <w:rFonts w:hint="eastAsia" w:ascii="仿宋" w:hAnsi="仿宋" w:eastAsia="仿宋" w:cs="仿宋"/>
          <w:sz w:val="24"/>
          <w:szCs w:val="32"/>
        </w:rPr>
        <w:t>.其他未尽事宜，请在我校研究生招生信息网查询，</w:t>
      </w:r>
      <w:r>
        <w:rPr>
          <w:rFonts w:hint="eastAsia" w:ascii="仿宋" w:hAnsi="仿宋" w:eastAsia="仿宋" w:cs="仿宋"/>
          <w:sz w:val="24"/>
          <w:szCs w:val="32"/>
          <w:highlight w:val="none"/>
        </w:rPr>
        <w:t>与202</w:t>
      </w:r>
      <w:r>
        <w:rPr>
          <w:rFonts w:hint="eastAsia" w:ascii="仿宋" w:hAnsi="仿宋" w:eastAsia="仿宋" w:cs="仿宋"/>
          <w:sz w:val="24"/>
          <w:szCs w:val="32"/>
          <w:highlight w:val="none"/>
          <w:lang w:val="en-US" w:eastAsia="zh-CN"/>
        </w:rPr>
        <w:t>4</w:t>
      </w:r>
      <w:r>
        <w:rPr>
          <w:rFonts w:hint="eastAsia" w:ascii="仿宋" w:hAnsi="仿宋" w:eastAsia="仿宋" w:cs="仿宋"/>
          <w:sz w:val="24"/>
          <w:szCs w:val="32"/>
          <w:highlight w:val="none"/>
        </w:rPr>
        <w:t>年研究生招生信息密切相关的三个文件为：《华南师范大学202</w:t>
      </w:r>
      <w:r>
        <w:rPr>
          <w:rFonts w:hint="eastAsia" w:ascii="仿宋" w:hAnsi="仿宋" w:eastAsia="仿宋" w:cs="仿宋"/>
          <w:sz w:val="24"/>
          <w:szCs w:val="32"/>
          <w:highlight w:val="none"/>
          <w:lang w:val="en-US" w:eastAsia="zh-CN"/>
        </w:rPr>
        <w:t>4</w:t>
      </w:r>
      <w:r>
        <w:rPr>
          <w:rFonts w:hint="eastAsia" w:ascii="仿宋" w:hAnsi="仿宋" w:eastAsia="仿宋" w:cs="仿宋"/>
          <w:sz w:val="24"/>
          <w:szCs w:val="32"/>
          <w:highlight w:val="none"/>
        </w:rPr>
        <w:t>年硕士研究生招生简章》、《华南师范大学202</w:t>
      </w:r>
      <w:r>
        <w:rPr>
          <w:rFonts w:hint="eastAsia" w:ascii="仿宋" w:hAnsi="仿宋" w:eastAsia="仿宋" w:cs="仿宋"/>
          <w:sz w:val="24"/>
          <w:szCs w:val="32"/>
          <w:highlight w:val="none"/>
          <w:lang w:val="en-US" w:eastAsia="zh-CN"/>
        </w:rPr>
        <w:t>4</w:t>
      </w:r>
      <w:r>
        <w:rPr>
          <w:rFonts w:hint="eastAsia" w:ascii="仿宋" w:hAnsi="仿宋" w:eastAsia="仿宋" w:cs="仿宋"/>
          <w:sz w:val="24"/>
          <w:szCs w:val="32"/>
          <w:highlight w:val="none"/>
        </w:rPr>
        <w:t>年硕士研究生招生专业目录》、《20</w:t>
      </w:r>
      <w:r>
        <w:rPr>
          <w:rFonts w:hint="eastAsia" w:ascii="仿宋" w:hAnsi="仿宋" w:eastAsia="仿宋" w:cs="仿宋"/>
          <w:sz w:val="24"/>
          <w:szCs w:val="32"/>
          <w:highlight w:val="none"/>
          <w:lang w:val="en-US" w:eastAsia="zh-CN"/>
        </w:rPr>
        <w:t>24</w:t>
      </w:r>
      <w:r>
        <w:rPr>
          <w:rFonts w:hint="eastAsia" w:ascii="仿宋" w:hAnsi="仿宋" w:eastAsia="仿宋" w:cs="仿宋"/>
          <w:sz w:val="24"/>
          <w:szCs w:val="32"/>
          <w:highlight w:val="none"/>
        </w:rPr>
        <w:t>年硕士招生考试初试和复试科目考试大纲》，详情在我校研究生招生信息网查阅（网址：https://yz.scnu.edu.cn/）。</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rPr>
      </w:pP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仿宋" w:hAnsi="仿宋" w:eastAsia="仿宋" w:cs="仿宋"/>
          <w:sz w:val="24"/>
          <w:szCs w:val="32"/>
        </w:rPr>
      </w:pPr>
      <w:r>
        <w:rPr>
          <w:rFonts w:hint="eastAsia" w:ascii="仿宋" w:hAnsi="仿宋" w:eastAsia="仿宋" w:cs="仿宋"/>
          <w:b/>
          <w:bCs/>
          <w:sz w:val="24"/>
          <w:szCs w:val="32"/>
        </w:rPr>
        <w:t>八、联系方式</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rPr>
      </w:pPr>
      <w:r>
        <w:rPr>
          <w:rFonts w:hint="eastAsia" w:ascii="仿宋" w:hAnsi="仿宋" w:eastAsia="仿宋" w:cs="仿宋"/>
          <w:sz w:val="24"/>
          <w:szCs w:val="32"/>
        </w:rPr>
        <w:t>1.华南师范大学招生考试处联系方式</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rPr>
      </w:pPr>
      <w:r>
        <w:rPr>
          <w:rFonts w:hint="eastAsia" w:ascii="仿宋" w:hAnsi="仿宋" w:eastAsia="仿宋" w:cs="仿宋"/>
          <w:sz w:val="24"/>
          <w:szCs w:val="32"/>
        </w:rPr>
        <w:t>华南师范大学招生单位代码：10574</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rPr>
      </w:pPr>
      <w:r>
        <w:rPr>
          <w:rFonts w:hint="eastAsia" w:ascii="仿宋" w:hAnsi="仿宋" w:eastAsia="仿宋" w:cs="仿宋"/>
          <w:sz w:val="24"/>
          <w:szCs w:val="32"/>
        </w:rPr>
        <w:t>招生考试处：联系电话（020）85213863，（020）85213484（fax）；</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rPr>
      </w:pPr>
      <w:r>
        <w:rPr>
          <w:rFonts w:hint="eastAsia" w:ascii="仿宋" w:hAnsi="仿宋" w:eastAsia="仿宋" w:cs="仿宋"/>
          <w:sz w:val="24"/>
          <w:szCs w:val="32"/>
        </w:rPr>
        <w:t>E-mail：zsb03@scnu.edu.cn；网址：http://zkc.scnu.edu.cn</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rPr>
      </w:pPr>
      <w:r>
        <w:rPr>
          <w:rFonts w:hint="eastAsia" w:ascii="仿宋" w:hAnsi="仿宋" w:eastAsia="仿宋" w:cs="仿宋"/>
          <w:sz w:val="24"/>
          <w:szCs w:val="32"/>
        </w:rPr>
        <w:t>通讯地址：广州市天河区中山大道西55号华南师范大学招生考试处</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rPr>
      </w:pPr>
      <w:r>
        <w:rPr>
          <w:rFonts w:hint="eastAsia" w:ascii="仿宋" w:hAnsi="仿宋" w:eastAsia="仿宋" w:cs="仿宋"/>
          <w:sz w:val="24"/>
          <w:szCs w:val="32"/>
        </w:rPr>
        <w:t>邮政编码：510631</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rPr>
      </w:pPr>
      <w:r>
        <w:rPr>
          <w:rFonts w:hint="eastAsia" w:ascii="仿宋" w:hAnsi="仿宋" w:eastAsia="仿宋" w:cs="仿宋"/>
          <w:sz w:val="24"/>
          <w:szCs w:val="32"/>
        </w:rPr>
        <w:t>2.华南师范大学心理学院研究生工作办公室联系方式</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rPr>
      </w:pPr>
      <w:r>
        <w:rPr>
          <w:rFonts w:hint="eastAsia" w:ascii="仿宋" w:hAnsi="仿宋" w:eastAsia="仿宋" w:cs="仿宋"/>
          <w:sz w:val="24"/>
          <w:szCs w:val="32"/>
        </w:rPr>
        <w:t>电话：（020）85216483，邮箱：xlxyygb@126.com;</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rPr>
      </w:pPr>
      <w:r>
        <w:rPr>
          <w:rFonts w:hint="eastAsia" w:ascii="仿宋" w:hAnsi="仿宋" w:eastAsia="仿宋" w:cs="仿宋"/>
          <w:sz w:val="24"/>
          <w:szCs w:val="32"/>
        </w:rPr>
        <w:t>通讯地址：广州市天河区中山大道西55号华南师范大学心理学院107研工办</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rPr>
      </w:pPr>
      <w:r>
        <w:rPr>
          <w:rFonts w:hint="eastAsia" w:ascii="仿宋" w:hAnsi="仿宋" w:eastAsia="仿宋" w:cs="仿宋"/>
          <w:sz w:val="24"/>
          <w:szCs w:val="32"/>
        </w:rPr>
        <w:t>邮政编码：510631</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rPr>
      </w:pP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仿宋" w:hAnsi="仿宋" w:eastAsia="仿宋" w:cs="仿宋"/>
          <w:sz w:val="24"/>
          <w:szCs w:val="32"/>
        </w:rPr>
      </w:pPr>
      <w:r>
        <w:rPr>
          <w:rFonts w:hint="eastAsia" w:ascii="仿宋" w:hAnsi="仿宋" w:eastAsia="仿宋" w:cs="仿宋"/>
          <w:sz w:val="24"/>
          <w:szCs w:val="32"/>
        </w:rPr>
        <w:t xml:space="preserve"> </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right"/>
        <w:textAlignment w:val="auto"/>
        <w:rPr>
          <w:rFonts w:hint="eastAsia" w:ascii="仿宋" w:hAnsi="仿宋" w:eastAsia="仿宋" w:cs="仿宋"/>
          <w:sz w:val="24"/>
          <w:szCs w:val="32"/>
        </w:rPr>
      </w:pP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right"/>
        <w:textAlignment w:val="auto"/>
        <w:rPr>
          <w:rFonts w:hint="eastAsia" w:ascii="仿宋" w:hAnsi="仿宋" w:eastAsia="仿宋" w:cs="仿宋"/>
          <w:sz w:val="24"/>
          <w:szCs w:val="32"/>
        </w:rPr>
      </w:pPr>
      <w:r>
        <w:rPr>
          <w:rFonts w:hint="eastAsia" w:ascii="仿宋" w:hAnsi="仿宋" w:eastAsia="仿宋" w:cs="仿宋"/>
          <w:sz w:val="24"/>
          <w:szCs w:val="32"/>
        </w:rPr>
        <w:t>华南师范大学心理学院研究生工作办公室</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right"/>
        <w:textAlignment w:val="auto"/>
        <w:rPr>
          <w:rFonts w:hint="eastAsia" w:ascii="仿宋" w:hAnsi="仿宋" w:eastAsia="仿宋" w:cs="仿宋"/>
          <w:sz w:val="24"/>
          <w:szCs w:val="32"/>
        </w:rPr>
      </w:pP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right"/>
        <w:textAlignment w:val="auto"/>
        <w:rPr>
          <w:rFonts w:hint="eastAsia" w:ascii="仿宋" w:hAnsi="仿宋" w:eastAsia="仿宋" w:cs="仿宋"/>
          <w:sz w:val="24"/>
          <w:szCs w:val="32"/>
        </w:rPr>
      </w:pPr>
      <w:r>
        <w:rPr>
          <w:rFonts w:hint="eastAsia" w:ascii="仿宋" w:hAnsi="仿宋" w:eastAsia="仿宋" w:cs="仿宋"/>
          <w:sz w:val="24"/>
          <w:szCs w:val="32"/>
        </w:rPr>
        <w:t>202</w:t>
      </w:r>
      <w:r>
        <w:rPr>
          <w:rFonts w:hint="eastAsia" w:ascii="仿宋" w:hAnsi="仿宋" w:eastAsia="仿宋" w:cs="仿宋"/>
          <w:sz w:val="24"/>
          <w:szCs w:val="32"/>
          <w:lang w:val="en-US" w:eastAsia="zh-CN"/>
        </w:rPr>
        <w:t>3</w:t>
      </w:r>
      <w:r>
        <w:rPr>
          <w:rFonts w:hint="eastAsia" w:ascii="仿宋" w:hAnsi="仿宋" w:eastAsia="仿宋" w:cs="仿宋"/>
          <w:sz w:val="24"/>
          <w:szCs w:val="32"/>
        </w:rPr>
        <w:t>年10月</w:t>
      </w:r>
      <w:r>
        <w:rPr>
          <w:rFonts w:hint="eastAsia" w:ascii="仿宋" w:hAnsi="仿宋" w:eastAsia="仿宋" w:cs="仿宋"/>
          <w:sz w:val="24"/>
          <w:szCs w:val="32"/>
          <w:lang w:val="en-US" w:eastAsia="zh-CN"/>
        </w:rPr>
        <w:t>12</w:t>
      </w:r>
      <w:r>
        <w:rPr>
          <w:rFonts w:hint="eastAsia" w:ascii="仿宋" w:hAnsi="仿宋" w:eastAsia="仿宋" w:cs="仿宋"/>
          <w:sz w:val="24"/>
          <w:szCs w:val="32"/>
        </w:rPr>
        <w:t>日</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pP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TSong-Light">
    <w:altName w:val="Times New Roman"/>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kNDdmZjE4Mjk0NGMwZWQwZTM4YmMzODJlY2IyZjkifQ=="/>
  </w:docVars>
  <w:rsids>
    <w:rsidRoot w:val="00000000"/>
    <w:rsid w:val="1C4159F2"/>
    <w:rsid w:val="255E515A"/>
    <w:rsid w:val="2D813122"/>
    <w:rsid w:val="33B23F49"/>
    <w:rsid w:val="4E727BBB"/>
    <w:rsid w:val="4ECD3570"/>
    <w:rsid w:val="598474ED"/>
    <w:rsid w:val="6E3E35FC"/>
    <w:rsid w:val="7C10061C"/>
    <w:rsid w:val="7D556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character" w:customStyle="1" w:styleId="7">
    <w:name w:val="font31"/>
    <w:basedOn w:val="5"/>
    <w:qFormat/>
    <w:uiPriority w:val="0"/>
    <w:rPr>
      <w:rFonts w:ascii="STSong-Light" w:hAnsi="STSong-Light" w:eastAsia="STSong-Light" w:cs="STSong-Light"/>
      <w:b/>
      <w:bCs/>
      <w:color w:val="000000"/>
      <w:sz w:val="30"/>
      <w:szCs w:val="3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3772</Words>
  <Characters>4252</Characters>
  <Lines>0</Lines>
  <Paragraphs>0</Paragraphs>
  <TotalTime>54</TotalTime>
  <ScaleCrop>false</ScaleCrop>
  <LinksUpToDate>false</LinksUpToDate>
  <CharactersWithSpaces>4257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2022-10-17T01:23:00Z</dcterms:created>
  <dc:creator>Administrator</dc:creator>
  <cp:lastModifiedBy>xlxy107</cp:lastModifiedBy>
  <dcterms:modified xsi:type="dcterms:W3CDTF">2023-10-12T07:12:16Z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A69411C7719841EAA7A7F941005307A8_13</vt:lpwstr>
  </property>
</Properties>
</file>