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4997" w:type="pct"/>
        <w:tblInd w:w="0" w:type="dxa"/>
        <w:tblLayout w:type="autofit"/>
        <w:tblCellMar>
          <w:top w:w="0" w:type="dxa"/>
          <w:left w:w="108" w:type="dxa"/>
          <w:bottom w:w="0" w:type="dxa"/>
          <w:right w:w="108" w:type="dxa"/>
        </w:tblCellMar>
      </w:tblPr>
      <w:tblGrid>
        <w:gridCol w:w="457"/>
        <w:gridCol w:w="2386"/>
        <w:gridCol w:w="981"/>
        <w:gridCol w:w="551"/>
        <w:gridCol w:w="365"/>
        <w:gridCol w:w="3918"/>
        <w:gridCol w:w="193"/>
      </w:tblGrid>
      <w:tr>
        <w:tblPrEx>
          <w:tblCellMar>
            <w:top w:w="0" w:type="dxa"/>
            <w:left w:w="108" w:type="dxa"/>
            <w:bottom w:w="0" w:type="dxa"/>
            <w:right w:w="108" w:type="dxa"/>
          </w:tblCellMar>
        </w:tblPrEx>
        <w:trPr>
          <w:gridAfter w:val="1"/>
          <w:wAfter w:w="109" w:type="pct"/>
          <w:trHeight w:val="345" w:hRule="atLeast"/>
        </w:trPr>
        <w:tc>
          <w:tcPr>
            <w:tcW w:w="4890" w:type="pct"/>
            <w:gridSpan w:val="6"/>
            <w:shd w:val="clear" w:color="auto" w:fill="auto"/>
            <w:vAlign w:val="center"/>
          </w:tcPr>
          <w:p>
            <w:pPr>
              <w:widowControl/>
              <w:jc w:val="center"/>
              <w:rPr>
                <w:rFonts w:ascii="Times New Roman" w:hAnsi="Times New Roman" w:eastAsia="宋体" w:cs="宋体"/>
                <w:b/>
                <w:bCs/>
                <w:kern w:val="0"/>
                <w:sz w:val="36"/>
                <w:szCs w:val="36"/>
                <w:lang w:bidi="ar"/>
              </w:rPr>
            </w:pPr>
            <w:bookmarkStart w:id="0" w:name="_GoBack"/>
            <w:r>
              <w:rPr>
                <w:rFonts w:ascii="Times New Roman" w:hAnsi="Times New Roman" w:eastAsia="宋体" w:cs="Times New Roman"/>
                <w:b/>
                <w:bCs/>
                <w:kern w:val="0"/>
                <w:sz w:val="36"/>
                <w:szCs w:val="36"/>
                <w:lang w:bidi="ar"/>
              </w:rPr>
              <w:t>202</w:t>
            </w:r>
            <w:r>
              <w:rPr>
                <w:rFonts w:hint="eastAsia" w:ascii="Times New Roman" w:hAnsi="Times New Roman" w:eastAsia="宋体" w:cs="Times New Roman"/>
                <w:b/>
                <w:bCs/>
                <w:kern w:val="0"/>
                <w:sz w:val="36"/>
                <w:szCs w:val="36"/>
                <w:lang w:val="en-US" w:eastAsia="zh-CN" w:bidi="ar"/>
              </w:rPr>
              <w:t>3</w:t>
            </w:r>
            <w:r>
              <w:rPr>
                <w:rFonts w:hint="eastAsia" w:ascii="Times New Roman" w:hAnsi="Times New Roman" w:eastAsia="宋体" w:cs="宋体"/>
                <w:b/>
                <w:bCs/>
                <w:kern w:val="0"/>
                <w:sz w:val="36"/>
                <w:szCs w:val="36"/>
                <w:lang w:bidi="ar"/>
              </w:rPr>
              <w:t>年度儿童青少年阅读与发展实验室</w:t>
            </w:r>
          </w:p>
          <w:p>
            <w:pPr>
              <w:widowControl/>
              <w:jc w:val="center"/>
              <w:rPr>
                <w:rFonts w:ascii="Times New Roman" w:hAnsi="Times New Roman" w:eastAsia="宋体" w:cs="宋体"/>
                <w:b/>
                <w:bCs/>
                <w:kern w:val="0"/>
                <w:sz w:val="32"/>
                <w:szCs w:val="32"/>
                <w:lang w:bidi="ar"/>
              </w:rPr>
            </w:pPr>
            <w:r>
              <w:rPr>
                <w:rFonts w:hint="eastAsia" w:ascii="Times New Roman" w:hAnsi="Times New Roman" w:eastAsia="宋体" w:cs="宋体"/>
                <w:b/>
                <w:bCs/>
                <w:kern w:val="0"/>
                <w:sz w:val="36"/>
                <w:szCs w:val="36"/>
                <w:lang w:bidi="ar"/>
              </w:rPr>
              <w:t>开放课题经费预算</w:t>
            </w:r>
            <w:bookmarkEnd w:id="0"/>
            <w:r>
              <w:rPr>
                <w:rFonts w:hint="eastAsia" w:ascii="Times New Roman" w:hAnsi="Times New Roman" w:eastAsia="宋体" w:cs="宋体"/>
                <w:b/>
                <w:bCs/>
                <w:kern w:val="0"/>
                <w:sz w:val="36"/>
                <w:szCs w:val="36"/>
                <w:lang w:bidi="ar"/>
              </w:rPr>
              <w:t>表</w:t>
            </w:r>
          </w:p>
        </w:tc>
      </w:tr>
      <w:tr>
        <w:tblPrEx>
          <w:tblCellMar>
            <w:top w:w="0" w:type="dxa"/>
            <w:left w:w="108" w:type="dxa"/>
            <w:bottom w:w="0" w:type="dxa"/>
            <w:right w:w="108" w:type="dxa"/>
          </w:tblCellMar>
        </w:tblPrEx>
        <w:trPr>
          <w:gridAfter w:val="1"/>
          <w:wAfter w:w="109" w:type="pct"/>
          <w:trHeight w:val="512" w:hRule="atLeast"/>
        </w:trPr>
        <w:tc>
          <w:tcPr>
            <w:tcW w:w="1606" w:type="pct"/>
            <w:gridSpan w:val="2"/>
            <w:tcBorders>
              <w:top w:val="nil"/>
              <w:left w:val="nil"/>
              <w:bottom w:val="single" w:color="auto" w:sz="4" w:space="0"/>
              <w:right w:val="nil"/>
            </w:tcBorders>
            <w:shd w:val="clear" w:color="auto" w:fill="auto"/>
            <w:vAlign w:val="center"/>
          </w:tcPr>
          <w:p>
            <w:pPr>
              <w:widowControl/>
              <w:jc w:val="left"/>
              <w:rPr>
                <w:b/>
                <w:bCs/>
                <w:kern w:val="0"/>
                <w:sz w:val="24"/>
              </w:rPr>
            </w:pPr>
          </w:p>
        </w:tc>
        <w:tc>
          <w:tcPr>
            <w:tcW w:w="1071" w:type="pct"/>
            <w:gridSpan w:val="3"/>
            <w:tcBorders>
              <w:top w:val="nil"/>
              <w:left w:val="nil"/>
              <w:bottom w:val="single" w:color="auto" w:sz="4" w:space="0"/>
              <w:right w:val="nil"/>
            </w:tcBorders>
            <w:shd w:val="clear" w:color="auto" w:fill="auto"/>
            <w:vAlign w:val="center"/>
          </w:tcPr>
          <w:p>
            <w:pPr>
              <w:widowControl/>
              <w:jc w:val="center"/>
              <w:rPr>
                <w:kern w:val="0"/>
                <w:sz w:val="24"/>
              </w:rPr>
            </w:pPr>
            <w:r>
              <w:rPr>
                <w:rFonts w:hint="eastAsia" w:ascii="Times New Roman" w:hAnsi="Times New Roman" w:eastAsia="宋体" w:cs="宋体"/>
                <w:b/>
                <w:bCs/>
                <w:kern w:val="0"/>
                <w:sz w:val="24"/>
                <w:lang w:bidi="ar"/>
              </w:rPr>
              <w:t>（单位：万元）</w:t>
            </w:r>
          </w:p>
        </w:tc>
        <w:tc>
          <w:tcPr>
            <w:tcW w:w="2212" w:type="pct"/>
            <w:tcBorders>
              <w:top w:val="nil"/>
              <w:left w:val="nil"/>
              <w:bottom w:val="single" w:color="auto" w:sz="4" w:space="0"/>
              <w:right w:val="nil"/>
            </w:tcBorders>
            <w:shd w:val="clear" w:color="auto" w:fill="auto"/>
            <w:vAlign w:val="center"/>
          </w:tcPr>
          <w:p>
            <w:pPr>
              <w:widowControl/>
              <w:rPr>
                <w:rFonts w:ascii="Times New Roman" w:hAnsi="Times New Roman" w:eastAsia="宋体" w:cs="宋体"/>
                <w:kern w:val="0"/>
                <w:sz w:val="24"/>
                <w:lang w:bidi="ar"/>
              </w:rPr>
            </w:pPr>
          </w:p>
        </w:tc>
      </w:tr>
      <w:tr>
        <w:tblPrEx>
          <w:tblCellMar>
            <w:top w:w="0" w:type="dxa"/>
            <w:left w:w="108" w:type="dxa"/>
            <w:bottom w:w="0" w:type="dxa"/>
            <w:right w:w="108" w:type="dxa"/>
          </w:tblCellMar>
        </w:tblPrEx>
        <w:trPr>
          <w:gridAfter w:val="1"/>
          <w:wAfter w:w="109" w:type="pct"/>
          <w:trHeight w:val="345" w:hRule="atLeast"/>
        </w:trPr>
        <w:tc>
          <w:tcPr>
            <w:tcW w:w="25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编号</w:t>
            </w:r>
          </w:p>
        </w:tc>
        <w:tc>
          <w:tcPr>
            <w:tcW w:w="1348"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类别</w:t>
            </w:r>
          </w:p>
        </w:tc>
        <w:tc>
          <w:tcPr>
            <w:tcW w:w="1071"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预算</w:t>
            </w:r>
          </w:p>
        </w:tc>
        <w:tc>
          <w:tcPr>
            <w:tcW w:w="2212"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lang w:bidi="ar"/>
              </w:rPr>
            </w:pPr>
            <w:r>
              <w:rPr>
                <w:rFonts w:hint="eastAsia" w:asciiTheme="minorEastAsia" w:hAnsiTheme="minorEastAsia" w:cstheme="minorEastAsia"/>
                <w:b/>
                <w:bCs/>
                <w:kern w:val="0"/>
                <w:sz w:val="24"/>
                <w:lang w:bidi="ar"/>
              </w:rPr>
              <w:t>经费说明</w:t>
            </w:r>
          </w:p>
        </w:tc>
      </w:tr>
      <w:tr>
        <w:tblPrEx>
          <w:tblCellMar>
            <w:top w:w="0" w:type="dxa"/>
            <w:left w:w="108" w:type="dxa"/>
            <w:bottom w:w="0" w:type="dxa"/>
            <w:right w:w="108" w:type="dxa"/>
          </w:tblCellMar>
        </w:tblPrEx>
        <w:trPr>
          <w:gridAfter w:val="1"/>
          <w:wAfter w:w="109" w:type="pct"/>
          <w:trHeight w:val="672"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1</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数据采集费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主要用于课题项目过程中进行的实证研究数据收集所需支出</w:t>
            </w:r>
          </w:p>
        </w:tc>
      </w:tr>
      <w:tr>
        <w:tblPrEx>
          <w:tblCellMar>
            <w:top w:w="0" w:type="dxa"/>
            <w:left w:w="108" w:type="dxa"/>
            <w:bottom w:w="0" w:type="dxa"/>
            <w:right w:w="108" w:type="dxa"/>
          </w:tblCellMar>
        </w:tblPrEx>
        <w:trPr>
          <w:gridAfter w:val="1"/>
          <w:wAfter w:w="109" w:type="pct"/>
          <w:trHeight w:val="758"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2</w:t>
            </w:r>
          </w:p>
        </w:tc>
        <w:tc>
          <w:tcPr>
            <w:tcW w:w="1348" w:type="pct"/>
            <w:tcBorders>
              <w:top w:val="nil"/>
              <w:left w:val="nil"/>
              <w:bottom w:val="single" w:color="auto" w:sz="4" w:space="0"/>
              <w:right w:val="single" w:color="auto" w:sz="4" w:space="0"/>
            </w:tcBorders>
            <w:shd w:val="clear" w:color="auto" w:fill="auto"/>
            <w:vAlign w:val="center"/>
          </w:tcPr>
          <w:p>
            <w:pPr>
              <w:widowControl/>
              <w:ind w:right="120"/>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办公资料费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w:t>
            </w:r>
            <w:r>
              <w:rPr>
                <w:rFonts w:hint="eastAsia" w:asciiTheme="minorEastAsia" w:hAnsiTheme="minorEastAsia" w:cstheme="minorEastAsia"/>
                <w:sz w:val="22"/>
                <w:szCs w:val="22"/>
              </w:rPr>
              <w:t>课题项目过程中</w:t>
            </w:r>
            <w:r>
              <w:rPr>
                <w:rFonts w:hint="eastAsia" w:asciiTheme="minorEastAsia" w:hAnsiTheme="minorEastAsia" w:cstheme="minorEastAsia"/>
                <w:kern w:val="0"/>
                <w:sz w:val="22"/>
                <w:szCs w:val="22"/>
              </w:rPr>
              <w:t>购置办公用品及资料等支出</w:t>
            </w:r>
          </w:p>
        </w:tc>
      </w:tr>
      <w:tr>
        <w:tblPrEx>
          <w:tblCellMar>
            <w:top w:w="0" w:type="dxa"/>
            <w:left w:w="108" w:type="dxa"/>
            <w:bottom w:w="0" w:type="dxa"/>
            <w:right w:w="108" w:type="dxa"/>
          </w:tblCellMar>
        </w:tblPrEx>
        <w:trPr>
          <w:gridAfter w:val="1"/>
          <w:wAfter w:w="109" w:type="pct"/>
          <w:trHeight w:val="758"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3</w:t>
            </w:r>
          </w:p>
        </w:tc>
        <w:tc>
          <w:tcPr>
            <w:tcW w:w="1348" w:type="pct"/>
            <w:tcBorders>
              <w:top w:val="nil"/>
              <w:left w:val="nil"/>
              <w:bottom w:val="single" w:color="auto" w:sz="4" w:space="0"/>
              <w:right w:val="single" w:color="auto" w:sz="4" w:space="0"/>
            </w:tcBorders>
            <w:shd w:val="clear" w:color="auto" w:fill="auto"/>
            <w:vAlign w:val="center"/>
          </w:tcPr>
          <w:p>
            <w:pPr>
              <w:widowControl/>
              <w:ind w:right="120"/>
              <w:jc w:val="center"/>
              <w:rPr>
                <w:rFonts w:hint="eastAsia" w:asciiTheme="minorEastAsia" w:hAnsiTheme="minorEastAsia" w:cstheme="minorEastAsia"/>
                <w:bCs/>
                <w:kern w:val="0"/>
                <w:sz w:val="24"/>
                <w:lang w:bidi="ar"/>
              </w:rPr>
            </w:pPr>
            <w:r>
              <w:rPr>
                <w:rFonts w:hint="eastAsia" w:asciiTheme="minorEastAsia" w:hAnsiTheme="minorEastAsia" w:cstheme="minorEastAsia"/>
                <w:sz w:val="24"/>
              </w:rPr>
              <w:t>实验材料费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主要用于课题项目过程中购置实验所需耗材等相关支出</w:t>
            </w:r>
          </w:p>
        </w:tc>
      </w:tr>
      <w:tr>
        <w:tblPrEx>
          <w:tblCellMar>
            <w:top w:w="0" w:type="dxa"/>
            <w:left w:w="108" w:type="dxa"/>
            <w:bottom w:w="0" w:type="dxa"/>
            <w:right w:w="108" w:type="dxa"/>
          </w:tblCellMar>
        </w:tblPrEx>
        <w:trPr>
          <w:gridAfter w:val="1"/>
          <w:wAfter w:w="109" w:type="pct"/>
          <w:trHeight w:val="1003"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4</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会议费/差旅费/国际合作与交流费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主要用于课题项目过程中发生相关会议和培训的交通、食宿等差旅支出</w:t>
            </w:r>
          </w:p>
        </w:tc>
      </w:tr>
      <w:tr>
        <w:tblPrEx>
          <w:tblCellMar>
            <w:top w:w="0" w:type="dxa"/>
            <w:left w:w="108" w:type="dxa"/>
            <w:bottom w:w="0" w:type="dxa"/>
            <w:right w:w="108" w:type="dxa"/>
          </w:tblCellMar>
        </w:tblPrEx>
        <w:trPr>
          <w:gridAfter w:val="1"/>
          <w:wAfter w:w="109" w:type="pct"/>
          <w:trHeight w:val="558"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5</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设备费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主要用于购置课题研究所需的实验设备等相关支出</w:t>
            </w:r>
          </w:p>
        </w:tc>
      </w:tr>
      <w:tr>
        <w:tblPrEx>
          <w:tblCellMar>
            <w:top w:w="0" w:type="dxa"/>
            <w:left w:w="108" w:type="dxa"/>
            <w:bottom w:w="0" w:type="dxa"/>
            <w:right w:w="108" w:type="dxa"/>
          </w:tblCellMar>
        </w:tblPrEx>
        <w:trPr>
          <w:gridAfter w:val="1"/>
          <w:wAfter w:w="109" w:type="pct"/>
          <w:trHeight w:val="776"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7</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Cs/>
                <w:kern w:val="0"/>
                <w:sz w:val="24"/>
                <w:lang w:bidi="ar"/>
              </w:rPr>
              <w:t>人员费用</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主要用于课题研究过程中参与项目的专家咨询及科研人员劳务等相关支出</w:t>
            </w:r>
          </w:p>
        </w:tc>
      </w:tr>
      <w:tr>
        <w:tblPrEx>
          <w:tblCellMar>
            <w:top w:w="0" w:type="dxa"/>
            <w:left w:w="108" w:type="dxa"/>
            <w:bottom w:w="0" w:type="dxa"/>
            <w:right w:w="108" w:type="dxa"/>
          </w:tblCellMar>
        </w:tblPrEx>
        <w:trPr>
          <w:gridAfter w:val="1"/>
          <w:wAfter w:w="109" w:type="pct"/>
          <w:trHeight w:val="834"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kern w:val="0"/>
                <w:sz w:val="24"/>
                <w:lang w:bidi="ar"/>
              </w:rPr>
              <w:t>8</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Cs/>
                <w:kern w:val="0"/>
                <w:sz w:val="24"/>
                <w:lang w:bidi="ar"/>
              </w:rPr>
              <w:t>印刷出版费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主要用于打印课题会议、申报和结题等材料等，印刷研究成果出版等支出</w:t>
            </w:r>
          </w:p>
        </w:tc>
      </w:tr>
      <w:tr>
        <w:tblPrEx>
          <w:tblCellMar>
            <w:top w:w="0" w:type="dxa"/>
            <w:left w:w="108" w:type="dxa"/>
            <w:bottom w:w="0" w:type="dxa"/>
            <w:right w:w="108" w:type="dxa"/>
          </w:tblCellMar>
        </w:tblPrEx>
        <w:trPr>
          <w:gridAfter w:val="1"/>
          <w:wAfter w:w="109" w:type="pct"/>
          <w:trHeight w:val="754"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9</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其他支出</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w:t>
            </w:r>
            <w:r>
              <w:rPr>
                <w:rFonts w:hint="eastAsia" w:asciiTheme="minorEastAsia" w:hAnsiTheme="minorEastAsia" w:cstheme="minorEastAsia"/>
                <w:sz w:val="22"/>
                <w:szCs w:val="22"/>
              </w:rPr>
              <w:t>课题项目过程中其他可行性支出，如维修、邮寄等支出</w:t>
            </w:r>
          </w:p>
        </w:tc>
      </w:tr>
      <w:tr>
        <w:tblPrEx>
          <w:tblCellMar>
            <w:top w:w="0" w:type="dxa"/>
            <w:left w:w="108" w:type="dxa"/>
            <w:bottom w:w="0" w:type="dxa"/>
            <w:right w:w="108" w:type="dxa"/>
          </w:tblCellMar>
        </w:tblPrEx>
        <w:trPr>
          <w:gridAfter w:val="1"/>
          <w:wAfter w:w="109" w:type="pct"/>
          <w:trHeight w:val="345"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合计</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r>
      <w:tr>
        <w:tblPrEx>
          <w:tblCellMar>
            <w:top w:w="0" w:type="dxa"/>
            <w:left w:w="108" w:type="dxa"/>
            <w:bottom w:w="0" w:type="dxa"/>
            <w:right w:w="108" w:type="dxa"/>
          </w:tblCellMar>
        </w:tblPrEx>
        <w:trPr>
          <w:trHeight w:val="345" w:hRule="atLeast"/>
        </w:trPr>
        <w:tc>
          <w:tcPr>
            <w:tcW w:w="258" w:type="pct"/>
            <w:shd w:val="clear" w:color="auto" w:fill="auto"/>
            <w:vAlign w:val="center"/>
          </w:tcPr>
          <w:p>
            <w:pPr>
              <w:widowControl/>
              <w:jc w:val="left"/>
              <w:rPr>
                <w:b/>
                <w:bCs/>
                <w:kern w:val="0"/>
                <w:sz w:val="28"/>
                <w:szCs w:val="28"/>
              </w:rPr>
            </w:pPr>
          </w:p>
        </w:tc>
        <w:tc>
          <w:tcPr>
            <w:tcW w:w="1348" w:type="pct"/>
            <w:shd w:val="clear" w:color="auto" w:fill="auto"/>
            <w:vAlign w:val="center"/>
          </w:tcPr>
          <w:p>
            <w:pPr>
              <w:widowControl/>
              <w:jc w:val="left"/>
              <w:rPr>
                <w:b/>
                <w:bCs/>
                <w:kern w:val="0"/>
                <w:sz w:val="28"/>
                <w:szCs w:val="28"/>
              </w:rPr>
            </w:pPr>
          </w:p>
        </w:tc>
        <w:tc>
          <w:tcPr>
            <w:tcW w:w="554" w:type="pct"/>
            <w:shd w:val="clear" w:color="auto" w:fill="auto"/>
            <w:vAlign w:val="center"/>
          </w:tcPr>
          <w:p>
            <w:pPr>
              <w:widowControl/>
              <w:jc w:val="left"/>
              <w:rPr>
                <w:b/>
                <w:bCs/>
                <w:kern w:val="0"/>
                <w:sz w:val="28"/>
                <w:szCs w:val="28"/>
              </w:rPr>
            </w:pPr>
          </w:p>
        </w:tc>
        <w:tc>
          <w:tcPr>
            <w:tcW w:w="311" w:type="pct"/>
            <w:shd w:val="clear" w:color="auto" w:fill="auto"/>
            <w:vAlign w:val="center"/>
          </w:tcPr>
          <w:p>
            <w:pPr>
              <w:widowControl/>
              <w:jc w:val="left"/>
              <w:rPr>
                <w:b/>
                <w:bCs/>
                <w:kern w:val="0"/>
                <w:sz w:val="28"/>
                <w:szCs w:val="28"/>
              </w:rPr>
            </w:pPr>
          </w:p>
        </w:tc>
        <w:tc>
          <w:tcPr>
            <w:tcW w:w="206" w:type="pct"/>
            <w:shd w:val="clear" w:color="auto" w:fill="auto"/>
            <w:vAlign w:val="center"/>
          </w:tcPr>
          <w:p>
            <w:pPr>
              <w:widowControl/>
              <w:jc w:val="left"/>
              <w:rPr>
                <w:b/>
                <w:bCs/>
                <w:kern w:val="0"/>
                <w:sz w:val="28"/>
                <w:szCs w:val="28"/>
              </w:rPr>
            </w:pPr>
          </w:p>
        </w:tc>
        <w:tc>
          <w:tcPr>
            <w:tcW w:w="2321" w:type="pct"/>
            <w:gridSpan w:val="2"/>
            <w:shd w:val="clear" w:color="auto" w:fill="auto"/>
            <w:vAlign w:val="center"/>
          </w:tcPr>
          <w:p>
            <w:pPr>
              <w:widowControl/>
              <w:jc w:val="left"/>
              <w:rPr>
                <w:b/>
                <w:bCs/>
                <w:kern w:val="0"/>
                <w:sz w:val="28"/>
                <w:szCs w:val="28"/>
              </w:rPr>
            </w:pPr>
          </w:p>
        </w:tc>
      </w:tr>
    </w:tbl>
    <w:p>
      <w:pPr>
        <w:rPr>
          <w:b/>
        </w:rPr>
      </w:pPr>
      <w:r>
        <w:rPr>
          <w:rFonts w:hint="eastAsia" w:ascii="Times New Roman" w:hAnsi="Times New Roman" w:eastAsia="宋体" w:cs="宋体"/>
          <w:b/>
          <w:lang w:bidi="ar"/>
        </w:rPr>
        <w:t>说明：</w:t>
      </w:r>
    </w:p>
    <w:p>
      <w:pPr>
        <w:ind w:firstLine="413" w:firstLineChars="196"/>
        <w:rPr>
          <w:b/>
        </w:rPr>
      </w:pPr>
      <w:r>
        <w:rPr>
          <w:rFonts w:ascii="Times New Roman" w:hAnsi="Times New Roman" w:eastAsia="宋体" w:cs="Times New Roman"/>
          <w:b/>
          <w:lang w:bidi="ar"/>
        </w:rPr>
        <w:t>1.</w:t>
      </w:r>
      <w:r>
        <w:rPr>
          <w:rFonts w:hint="eastAsia" w:ascii="Times New Roman" w:hAnsi="Times New Roman" w:eastAsia="宋体" w:cs="宋体"/>
          <w:b/>
          <w:lang w:bidi="ar"/>
        </w:rPr>
        <w:t>此表为年度拨款及预算支出审核依据，年度拨款</w:t>
      </w:r>
      <w:r>
        <w:rPr>
          <w:rFonts w:hint="eastAsia" w:ascii="Times New Roman" w:hAnsi="Times New Roman" w:eastAsia="宋体" w:cs="宋体"/>
          <w:b/>
          <w:color w:val="FF0000"/>
          <w:lang w:bidi="ar"/>
        </w:rPr>
        <w:t>仅限当年使用</w:t>
      </w:r>
      <w:r>
        <w:rPr>
          <w:rFonts w:hint="eastAsia" w:ascii="Times New Roman" w:hAnsi="Times New Roman" w:eastAsia="宋体" w:cs="宋体"/>
          <w:b/>
          <w:lang w:bidi="ar"/>
        </w:rPr>
        <w:t>。</w:t>
      </w:r>
    </w:p>
    <w:p>
      <w:pPr>
        <w:ind w:firstLine="413" w:firstLineChars="196"/>
        <w:rPr>
          <w:b/>
        </w:rPr>
      </w:pPr>
      <w:r>
        <w:rPr>
          <w:rFonts w:ascii="Times New Roman" w:hAnsi="Times New Roman" w:eastAsia="宋体" w:cs="Times New Roman"/>
          <w:b/>
          <w:lang w:bidi="ar"/>
        </w:rPr>
        <w:t>2.</w:t>
      </w:r>
      <w:r>
        <w:rPr>
          <w:rFonts w:hint="eastAsia" w:ascii="Times New Roman" w:hAnsi="Times New Roman" w:eastAsia="宋体" w:cs="宋体"/>
          <w:b/>
          <w:lang w:bidi="ar"/>
        </w:rPr>
        <w:t>经费不得开支燃油费、电话费、餐费。人员费用经费不得超过当年拨款运行经费的</w:t>
      </w:r>
      <w:r>
        <w:rPr>
          <w:rFonts w:ascii="Times New Roman" w:hAnsi="Times New Roman" w:eastAsia="宋体" w:cs="Times New Roman"/>
          <w:b/>
          <w:lang w:bidi="ar"/>
        </w:rPr>
        <w:t xml:space="preserve"> </w:t>
      </w:r>
      <w:r>
        <w:rPr>
          <w:rFonts w:hint="eastAsia" w:ascii="Times New Roman" w:hAnsi="Times New Roman" w:eastAsia="宋体" w:cs="Times New Roman"/>
          <w:b/>
          <w:color w:val="FF0000"/>
          <w:lang w:bidi="ar"/>
        </w:rPr>
        <w:t>30</w:t>
      </w:r>
      <w:r>
        <w:rPr>
          <w:rFonts w:ascii="Times New Roman" w:hAnsi="Times New Roman" w:eastAsia="宋体" w:cs="Times New Roman"/>
          <w:b/>
          <w:color w:val="FF0000"/>
          <w:lang w:bidi="ar"/>
        </w:rPr>
        <w:t>%</w:t>
      </w:r>
      <w:r>
        <w:rPr>
          <w:rFonts w:hint="eastAsia" w:ascii="Times New Roman" w:hAnsi="Times New Roman" w:eastAsia="宋体" w:cs="宋体"/>
          <w:b/>
          <w:color w:val="000000"/>
          <w:lang w:bidi="ar"/>
        </w:rPr>
        <w:t>。</w:t>
      </w:r>
    </w:p>
    <w:p>
      <w:pPr>
        <w:spacing w:line="440" w:lineRule="exact"/>
        <w:rPr>
          <w:b/>
          <w:bCs/>
          <w:kern w:val="0"/>
          <w:sz w:val="30"/>
          <w:szCs w:val="30"/>
        </w:rPr>
      </w:pPr>
    </w:p>
    <w:p>
      <w:pPr>
        <w:spacing w:line="440" w:lineRule="exact"/>
        <w:rPr>
          <w:b/>
          <w:bCs/>
          <w:kern w:val="0"/>
          <w:sz w:val="30"/>
          <w:szCs w:val="30"/>
        </w:rPr>
      </w:pPr>
    </w:p>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hZWM0MTM5ZmRhOWRmM2IwOWMzNTljN2ZjYWQzOGUifQ=="/>
  </w:docVars>
  <w:rsids>
    <w:rsidRoot w:val="486B4BE7"/>
    <w:rsid w:val="00301A49"/>
    <w:rsid w:val="00656EB9"/>
    <w:rsid w:val="009D7286"/>
    <w:rsid w:val="009F2AE6"/>
    <w:rsid w:val="01BB4E65"/>
    <w:rsid w:val="04E94C26"/>
    <w:rsid w:val="486B4BE7"/>
    <w:rsid w:val="663A0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70</Words>
  <Characters>403</Characters>
  <Lines>3</Lines>
  <Paragraphs>1</Paragraphs>
  <TotalTime>16</TotalTime>
  <ScaleCrop>false</ScaleCrop>
  <LinksUpToDate>false</LinksUpToDate>
  <CharactersWithSpaces>472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2024-07-25T08:09:00Z</dcterms:created>
  <dc:creator>长筒袜少女</dc:creator>
  <cp:lastModifiedBy>审阅人</cp:lastModifiedBy>
  <dcterms:modified xsi:type="dcterms:W3CDTF">2026-10-17T09:04:55Z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BB6ACF33169044FA8C6CD44469DF2002_11</vt:lpwstr>
  </property>
</Properties>
</file>