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A50" w:rsidRPr="00BA0A50" w:rsidRDefault="00BA0A50" w:rsidP="00BA0A50">
      <w:pPr>
        <w:widowControl/>
        <w:spacing w:after="150"/>
        <w:jc w:val="left"/>
        <w:rPr>
          <w:rFonts w:ascii="微软雅黑" w:eastAsia="微软雅黑" w:hAnsi="微软雅黑" w:cs="Helvetica"/>
          <w:color w:val="333333"/>
          <w:kern w:val="0"/>
          <w:szCs w:val="21"/>
        </w:rPr>
      </w:pPr>
      <w:r w:rsidRPr="00BA0A50">
        <w:rPr>
          <w:rFonts w:ascii="微软雅黑" w:eastAsia="微软雅黑" w:hAnsi="微软雅黑" w:cs="Helvetica" w:hint="eastAsia"/>
          <w:b/>
          <w:bCs/>
          <w:color w:val="333333"/>
          <w:kern w:val="0"/>
          <w:szCs w:val="21"/>
        </w:rPr>
        <w:t>附件1</w:t>
      </w:r>
      <w:r w:rsidRPr="00BA0A50">
        <w:rPr>
          <w:rFonts w:ascii="微软雅黑" w:eastAsia="微软雅黑" w:hAnsi="微软雅黑" w:cs="Helvetica" w:hint="eastAsia"/>
          <w:color w:val="333333"/>
          <w:kern w:val="0"/>
          <w:szCs w:val="21"/>
        </w:rPr>
        <w:br/>
        <w:t> </w:t>
      </w:r>
    </w:p>
    <w:p w:rsidR="00BA0A50" w:rsidRPr="00BA0A50" w:rsidRDefault="00BA0A50" w:rsidP="00BA0A50">
      <w:pPr>
        <w:widowControl/>
        <w:jc w:val="center"/>
        <w:rPr>
          <w:rFonts w:ascii="微软雅黑" w:eastAsia="微软雅黑" w:hAnsi="微软雅黑" w:cs="Helvetica" w:hint="eastAsia"/>
          <w:color w:val="333333"/>
          <w:kern w:val="0"/>
          <w:szCs w:val="21"/>
        </w:rPr>
      </w:pPr>
      <w:r w:rsidRPr="00BA0A50">
        <w:rPr>
          <w:rFonts w:ascii="微软雅黑" w:eastAsia="微软雅黑" w:hAnsi="微软雅黑" w:cs="Helvetica" w:hint="eastAsia"/>
          <w:b/>
          <w:bCs/>
          <w:color w:val="333333"/>
          <w:kern w:val="0"/>
          <w:szCs w:val="21"/>
        </w:rPr>
        <w:t>《广州大典》与广州历史文化专题研究2017年度课题指南</w:t>
      </w:r>
    </w:p>
    <w:p w:rsidR="00BA0A50" w:rsidRPr="00BA0A50" w:rsidRDefault="00BA0A50" w:rsidP="00BA0A50">
      <w:pPr>
        <w:widowControl/>
        <w:jc w:val="left"/>
        <w:rPr>
          <w:rFonts w:ascii="微软雅黑" w:eastAsia="微软雅黑" w:hAnsi="微软雅黑" w:cs="Helvetica" w:hint="eastAsia"/>
          <w:color w:val="333333"/>
          <w:kern w:val="0"/>
          <w:szCs w:val="21"/>
        </w:rPr>
      </w:pPr>
      <w:r w:rsidRPr="00BA0A50">
        <w:rPr>
          <w:rFonts w:ascii="微软雅黑" w:eastAsia="微软雅黑" w:hAnsi="微软雅黑" w:cs="Helvetica" w:hint="eastAsia"/>
          <w:color w:val="333333"/>
          <w:kern w:val="0"/>
          <w:szCs w:val="21"/>
        </w:rPr>
        <w:t>    </w:t>
      </w:r>
      <w:r w:rsidRPr="00BA0A50">
        <w:rPr>
          <w:rFonts w:ascii="微软雅黑" w:eastAsia="微软雅黑" w:hAnsi="微软雅黑" w:cs="Helvetica" w:hint="eastAsia"/>
          <w:color w:val="333333"/>
          <w:kern w:val="0"/>
          <w:szCs w:val="21"/>
        </w:rPr>
        <w:br/>
        <w:t>       根据《〈广州大典〉与广州历史文化研究资金管理暂行办法》(穗宣通〔2013〕45号)，现发布《〈广州大典〉与广州历史文化专题研究2017年度课题指南》。</w:t>
      </w:r>
      <w:r w:rsidRPr="00BA0A50">
        <w:rPr>
          <w:rFonts w:ascii="微软雅黑" w:eastAsia="微软雅黑" w:hAnsi="微软雅黑" w:cs="Helvetica" w:hint="eastAsia"/>
          <w:color w:val="333333"/>
          <w:kern w:val="0"/>
          <w:szCs w:val="21"/>
        </w:rPr>
        <w:br/>
        <w:t xml:space="preserve">　　一、关于《广州大典》</w:t>
      </w:r>
      <w:r w:rsidRPr="00BA0A50">
        <w:rPr>
          <w:rFonts w:ascii="微软雅黑" w:eastAsia="微软雅黑" w:hAnsi="微软雅黑" w:cs="Helvetica" w:hint="eastAsia"/>
          <w:color w:val="333333"/>
          <w:kern w:val="0"/>
          <w:szCs w:val="21"/>
        </w:rPr>
        <w:br/>
        <w:t xml:space="preserve">　　《广州大典》是中共广州市委宣传部、广东省文化厅策划并组织研究编纂，旨在系统搜集整理和抢救保护广州文献典籍、传播广州历史文化的大型地方文献丛书。</w:t>
      </w:r>
      <w:r w:rsidRPr="00BA0A50">
        <w:rPr>
          <w:rFonts w:ascii="微软雅黑" w:eastAsia="微软雅黑" w:hAnsi="微软雅黑" w:cs="Helvetica" w:hint="eastAsia"/>
          <w:color w:val="333333"/>
          <w:kern w:val="0"/>
          <w:szCs w:val="21"/>
        </w:rPr>
        <w:br/>
        <w:t xml:space="preserve">　　《广州大典》收录历代4000余种文献，编成520册。使用底本大部分集中在广东省立中山图书馆、中山大学图书馆，其余分藏于海内外数十家图书馆等藏书机构，珍本众多。</w:t>
      </w:r>
      <w:r w:rsidRPr="00BA0A50">
        <w:rPr>
          <w:rFonts w:ascii="微软雅黑" w:eastAsia="微软雅黑" w:hAnsi="微软雅黑" w:cs="Helvetica" w:hint="eastAsia"/>
          <w:color w:val="333333"/>
          <w:kern w:val="0"/>
          <w:szCs w:val="21"/>
        </w:rPr>
        <w:br/>
        <w:t xml:space="preserve">　　《广州大典》大体依经、史、子、集、丛五部分类，其中丛部酌收兼赅四部之丛书，专科性丛书俱入所属部类。</w:t>
      </w:r>
      <w:r w:rsidRPr="00BA0A50">
        <w:rPr>
          <w:rFonts w:ascii="微软雅黑" w:eastAsia="微软雅黑" w:hAnsi="微软雅黑" w:cs="Helvetica" w:hint="eastAsia"/>
          <w:color w:val="333333"/>
          <w:kern w:val="0"/>
          <w:szCs w:val="21"/>
        </w:rPr>
        <w:br/>
        <w:t xml:space="preserve">　　《广州大典》收录的内容范围为：广州人士(含寓贤)著述、有关广州历史文化的著述及广州版丛书。所收文献下限为1911年，个别门类延至民国。 收录的地域范围包括清代中期广州府所辖南海、番禺、顺德、东莞、从化、龙门、增城、新会、香山、三水、新宁、新安、清远、花县，以及香港、澳门、佛冈、赤溪。</w:t>
      </w:r>
      <w:r w:rsidRPr="00BA0A50">
        <w:rPr>
          <w:rFonts w:ascii="微软雅黑" w:eastAsia="微软雅黑" w:hAnsi="微软雅黑" w:cs="Helvetica" w:hint="eastAsia"/>
          <w:color w:val="333333"/>
          <w:kern w:val="0"/>
          <w:szCs w:val="21"/>
        </w:rPr>
        <w:br/>
        <w:t xml:space="preserve">　　《广州大典》已于2015年4月全部编纂完成并公开发行，全国各主要图书馆及海外知名图书馆均有收藏。</w:t>
      </w:r>
      <w:r w:rsidRPr="00BA0A50">
        <w:rPr>
          <w:rFonts w:ascii="微软雅黑" w:eastAsia="微软雅黑" w:hAnsi="微软雅黑" w:cs="Helvetica" w:hint="eastAsia"/>
          <w:color w:val="333333"/>
          <w:kern w:val="0"/>
          <w:szCs w:val="21"/>
        </w:rPr>
        <w:br/>
        <w:t xml:space="preserve">　　二、课题设置</w:t>
      </w:r>
      <w:r w:rsidRPr="00BA0A50">
        <w:rPr>
          <w:rFonts w:ascii="微软雅黑" w:eastAsia="微软雅黑" w:hAnsi="微软雅黑" w:cs="Helvetica" w:hint="eastAsia"/>
          <w:color w:val="333333"/>
          <w:kern w:val="0"/>
          <w:szCs w:val="21"/>
        </w:rPr>
        <w:br/>
        <w:t xml:space="preserve">　　《广州大典》与广州历史文化专题研究2017年度课题包括</w:t>
      </w:r>
      <w:r w:rsidRPr="00BA0A50">
        <w:rPr>
          <w:rFonts w:ascii="微软雅黑" w:eastAsia="微软雅黑" w:hAnsi="微软雅黑" w:cs="Helvetica" w:hint="eastAsia"/>
          <w:b/>
          <w:bCs/>
          <w:color w:val="333333"/>
          <w:kern w:val="0"/>
          <w:szCs w:val="21"/>
        </w:rPr>
        <w:t>重点课题</w:t>
      </w:r>
      <w:r w:rsidRPr="00BA0A50">
        <w:rPr>
          <w:rFonts w:ascii="微软雅黑" w:eastAsia="微软雅黑" w:hAnsi="微软雅黑" w:cs="Helvetica" w:hint="eastAsia"/>
          <w:color w:val="333333"/>
          <w:kern w:val="0"/>
          <w:szCs w:val="21"/>
        </w:rPr>
        <w:t>和</w:t>
      </w:r>
      <w:r w:rsidRPr="00BA0A50">
        <w:rPr>
          <w:rFonts w:ascii="微软雅黑" w:eastAsia="微软雅黑" w:hAnsi="微软雅黑" w:cs="Helvetica" w:hint="eastAsia"/>
          <w:b/>
          <w:bCs/>
          <w:color w:val="333333"/>
          <w:kern w:val="0"/>
          <w:szCs w:val="21"/>
        </w:rPr>
        <w:t>一般课题</w:t>
      </w:r>
      <w:r w:rsidRPr="00BA0A50">
        <w:rPr>
          <w:rFonts w:ascii="微软雅黑" w:eastAsia="微软雅黑" w:hAnsi="微软雅黑" w:cs="Helvetica" w:hint="eastAsia"/>
          <w:color w:val="333333"/>
          <w:kern w:val="0"/>
          <w:szCs w:val="21"/>
        </w:rPr>
        <w:t>，应</w:t>
      </w:r>
      <w:r w:rsidRPr="00BA0A50">
        <w:rPr>
          <w:rFonts w:ascii="微软雅黑" w:eastAsia="微软雅黑" w:hAnsi="微软雅黑" w:cs="Helvetica" w:hint="eastAsia"/>
          <w:color w:val="333333"/>
          <w:kern w:val="0"/>
          <w:szCs w:val="21"/>
        </w:rPr>
        <w:lastRenderedPageBreak/>
        <w:t>围绕《〈广州大典〉与广州历史文化研究参考选题》开展研究，重点课题每项资助经费人民币8万元整，一般课题每项资助经费人民币5万元整。</w:t>
      </w:r>
      <w:r w:rsidRPr="00BA0A50">
        <w:rPr>
          <w:rFonts w:ascii="微软雅黑" w:eastAsia="微软雅黑" w:hAnsi="微软雅黑" w:cs="Helvetica" w:hint="eastAsia"/>
          <w:color w:val="333333"/>
          <w:kern w:val="0"/>
          <w:szCs w:val="21"/>
        </w:rPr>
        <w:br/>
        <w:t xml:space="preserve">　　三、申报说明</w:t>
      </w:r>
      <w:r w:rsidRPr="00BA0A50">
        <w:rPr>
          <w:rFonts w:ascii="微软雅黑" w:eastAsia="微软雅黑" w:hAnsi="微软雅黑" w:cs="Helvetica" w:hint="eastAsia"/>
          <w:color w:val="333333"/>
          <w:kern w:val="0"/>
          <w:szCs w:val="21"/>
        </w:rPr>
        <w:br/>
        <w:t xml:space="preserve">　　1.</w:t>
      </w:r>
      <w:r w:rsidRPr="00BA0A50">
        <w:rPr>
          <w:rFonts w:ascii="微软雅黑" w:eastAsia="微软雅黑" w:hAnsi="微软雅黑" w:cs="Helvetica" w:hint="eastAsia"/>
          <w:b/>
          <w:bCs/>
          <w:color w:val="333333"/>
          <w:kern w:val="0"/>
          <w:szCs w:val="21"/>
        </w:rPr>
        <w:t>重点课题的申报人必须具有副高级以上的专业技术职称</w:t>
      </w:r>
      <w:r w:rsidRPr="00BA0A50">
        <w:rPr>
          <w:rFonts w:ascii="微软雅黑" w:eastAsia="微软雅黑" w:hAnsi="微软雅黑" w:cs="Helvetica" w:hint="eastAsia"/>
          <w:color w:val="333333"/>
          <w:kern w:val="0"/>
          <w:szCs w:val="21"/>
        </w:rPr>
        <w:t>，否则需提供由两名副高级以上专业技术职称人员出具的书面推荐意见。</w:t>
      </w:r>
      <w:r w:rsidRPr="00BA0A50">
        <w:rPr>
          <w:rFonts w:ascii="微软雅黑" w:eastAsia="微软雅黑" w:hAnsi="微软雅黑" w:cs="Helvetica" w:hint="eastAsia"/>
          <w:color w:val="333333"/>
          <w:kern w:val="0"/>
          <w:szCs w:val="21"/>
        </w:rPr>
        <w:br/>
        <w:t xml:space="preserve">　　2.申报人必须为课题负责人，能真正承担课题研究任务。不能从事实质性研究工作的人员，不得申报。申报人每年只限申报一项课题。课题组成员最多只能同时参加两个课题的申请。</w:t>
      </w:r>
      <w:r w:rsidRPr="00BA0A50">
        <w:rPr>
          <w:rFonts w:ascii="微软雅黑" w:eastAsia="微软雅黑" w:hAnsi="微软雅黑" w:cs="Helvetica" w:hint="eastAsia"/>
          <w:color w:val="333333"/>
          <w:kern w:val="0"/>
          <w:szCs w:val="21"/>
        </w:rPr>
        <w:br/>
        <w:t xml:space="preserve">　　3.已获国家、省、市社科规划立项资助的课题，不得重复申报;已承担市社科规划课题尚未结题(以申报截止日期为准)的课题负责人，不得申报;已获广州市社会科学界联合会社会科学研究资助的项目，不得重复申报。</w:t>
      </w:r>
      <w:r w:rsidRPr="00BA0A50">
        <w:rPr>
          <w:rFonts w:ascii="微软雅黑" w:eastAsia="微软雅黑" w:hAnsi="微软雅黑" w:cs="Helvetica" w:hint="eastAsia"/>
          <w:color w:val="333333"/>
          <w:kern w:val="0"/>
          <w:szCs w:val="21"/>
        </w:rPr>
        <w:br/>
        <w:t xml:space="preserve">　　四、申报办法</w:t>
      </w:r>
      <w:r w:rsidRPr="00BA0A50">
        <w:rPr>
          <w:rFonts w:ascii="微软雅黑" w:eastAsia="微软雅黑" w:hAnsi="微软雅黑" w:cs="Helvetica" w:hint="eastAsia"/>
          <w:color w:val="333333"/>
          <w:kern w:val="0"/>
          <w:szCs w:val="21"/>
        </w:rPr>
        <w:br/>
        <w:t xml:space="preserve">　　1.申报人登录 “中国广州网(</w:t>
      </w:r>
      <w:hyperlink r:id="rId6" w:history="1">
        <w:r w:rsidRPr="00BA0A50">
          <w:rPr>
            <w:rFonts w:ascii="微软雅黑" w:eastAsia="微软雅黑" w:hAnsi="微软雅黑" w:cs="Helvetica" w:hint="eastAsia"/>
            <w:color w:val="006699"/>
            <w:kern w:val="0"/>
            <w:szCs w:val="21"/>
          </w:rPr>
          <w:t>www.guangzhou.gov.cn</w:t>
        </w:r>
      </w:hyperlink>
      <w:r w:rsidRPr="00BA0A50">
        <w:rPr>
          <w:rFonts w:ascii="微软雅黑" w:eastAsia="微软雅黑" w:hAnsi="微软雅黑" w:cs="Helvetica" w:hint="eastAsia"/>
          <w:color w:val="333333"/>
          <w:kern w:val="0"/>
          <w:szCs w:val="21"/>
        </w:rPr>
        <w:t>)”或“广州社科网(</w:t>
      </w:r>
      <w:hyperlink r:id="rId7" w:history="1">
        <w:r w:rsidRPr="00BA0A50">
          <w:rPr>
            <w:rFonts w:ascii="微软雅黑" w:eastAsia="微软雅黑" w:hAnsi="微软雅黑" w:cs="Helvetica" w:hint="eastAsia"/>
            <w:color w:val="006699"/>
            <w:kern w:val="0"/>
            <w:szCs w:val="21"/>
          </w:rPr>
          <w:t>www.gzsk.gd.cn</w:t>
        </w:r>
      </w:hyperlink>
      <w:r w:rsidRPr="00BA0A50">
        <w:rPr>
          <w:rFonts w:ascii="微软雅黑" w:eastAsia="微软雅黑" w:hAnsi="微软雅黑" w:cs="Helvetica" w:hint="eastAsia"/>
          <w:color w:val="333333"/>
          <w:kern w:val="0"/>
          <w:szCs w:val="21"/>
        </w:rPr>
        <w:t>)”，在公告栏点击“《广州大典》与广州历史文化专题研究”2017年度课题申报通知，下载填写课题申请表，并打印6份(A4纸打印，统一左边装订)，递交所在单位科研管理部门加具单位意见和公章。</w:t>
      </w:r>
      <w:r w:rsidRPr="00BA0A50">
        <w:rPr>
          <w:rFonts w:ascii="微软雅黑" w:eastAsia="微软雅黑" w:hAnsi="微软雅黑" w:cs="Helvetica" w:hint="eastAsia"/>
          <w:color w:val="333333"/>
          <w:kern w:val="0"/>
          <w:szCs w:val="21"/>
        </w:rPr>
        <w:br/>
        <w:t xml:space="preserve">　　2.申报人要如实填写申请资料，并保证没有知识产权争议。凡在申报中弄虚作假者，一经发现并查实后，取消个人三年申报资格，如已获准立项则一律按撤项处理。</w:t>
      </w:r>
      <w:r w:rsidRPr="00BA0A50">
        <w:rPr>
          <w:rFonts w:ascii="微软雅黑" w:eastAsia="微软雅黑" w:hAnsi="微软雅黑" w:cs="Helvetica" w:hint="eastAsia"/>
          <w:color w:val="333333"/>
          <w:kern w:val="0"/>
          <w:szCs w:val="21"/>
        </w:rPr>
        <w:br/>
        <w:t xml:space="preserve">　　3.各单位科研管理部门组织和指导申报人进行申报，并对申报材料认真审核，严格把关，提出审核意见(无科研管理部门的单位，由申报人所在单位领导或相关部门签署意见)。相关材料及电子版寄：广州市越秀区法政路30号中共广州市委宣传部理论处(请通过邮政EMS递送申报材料)，邮政编码：510045，联系电话：020-83105544，电子邮箱：</w:t>
      </w:r>
      <w:hyperlink r:id="rId8" w:history="1">
        <w:r w:rsidRPr="00BA0A50">
          <w:rPr>
            <w:rFonts w:ascii="微软雅黑" w:eastAsia="微软雅黑" w:hAnsi="微软雅黑" w:cs="Helvetica" w:hint="eastAsia"/>
            <w:color w:val="006699"/>
            <w:kern w:val="0"/>
            <w:szCs w:val="21"/>
          </w:rPr>
          <w:t>gzdadian@126.com</w:t>
        </w:r>
      </w:hyperlink>
      <w:r w:rsidRPr="00BA0A50">
        <w:rPr>
          <w:rFonts w:ascii="微软雅黑" w:eastAsia="微软雅黑" w:hAnsi="微软雅黑" w:cs="Helvetica" w:hint="eastAsia"/>
          <w:color w:val="333333"/>
          <w:kern w:val="0"/>
          <w:szCs w:val="21"/>
        </w:rPr>
        <w:t>。</w:t>
      </w:r>
      <w:r w:rsidRPr="00BA0A50">
        <w:rPr>
          <w:rFonts w:ascii="微软雅黑" w:eastAsia="微软雅黑" w:hAnsi="微软雅黑" w:cs="Helvetica" w:hint="eastAsia"/>
          <w:color w:val="333333"/>
          <w:kern w:val="0"/>
          <w:szCs w:val="21"/>
        </w:rPr>
        <w:br/>
        <w:t xml:space="preserve">　　4.申报时间从2016年11月7日起至12月15日止，逾期不予受理。</w:t>
      </w:r>
      <w:r w:rsidRPr="00BA0A50">
        <w:rPr>
          <w:rFonts w:ascii="微软雅黑" w:eastAsia="微软雅黑" w:hAnsi="微软雅黑" w:cs="Helvetica" w:hint="eastAsia"/>
          <w:color w:val="333333"/>
          <w:kern w:val="0"/>
          <w:szCs w:val="21"/>
        </w:rPr>
        <w:br/>
        <w:t xml:space="preserve">　　五、评审、立项与管理</w:t>
      </w:r>
      <w:r w:rsidRPr="00BA0A50">
        <w:rPr>
          <w:rFonts w:ascii="微软雅黑" w:eastAsia="微软雅黑" w:hAnsi="微软雅黑" w:cs="Helvetica" w:hint="eastAsia"/>
          <w:color w:val="333333"/>
          <w:kern w:val="0"/>
          <w:szCs w:val="21"/>
        </w:rPr>
        <w:br/>
        <w:t xml:space="preserve">　　1.《广州大典》与广州历史文化专题研究申报项目采用学科组专家会议评审。评审结果经市社科规划领导小组审议、公示等程序，正式发文公布。</w:t>
      </w:r>
      <w:r w:rsidRPr="00BA0A50">
        <w:rPr>
          <w:rFonts w:ascii="微软雅黑" w:eastAsia="微软雅黑" w:hAnsi="微软雅黑" w:cs="Helvetica" w:hint="eastAsia"/>
          <w:color w:val="333333"/>
          <w:kern w:val="0"/>
          <w:szCs w:val="21"/>
        </w:rPr>
        <w:br/>
        <w:t xml:space="preserve">　　2.《广州大典》与广州历史文化专题研究重点课题原则上要求2年内完成，一般课题原则上要求1年内完成(自公布立项之日起计算)。课题获准立项并签署研究协议后，先划拨课题经费的50%至课题负责人所在单位，由其所在单位统一管理;课题最终研究成果按期提交并通过验收后，再划拨余下的课题经费。</w:t>
      </w:r>
      <w:r w:rsidRPr="00BA0A50">
        <w:rPr>
          <w:rFonts w:ascii="微软雅黑" w:eastAsia="微软雅黑" w:hAnsi="微软雅黑" w:cs="Helvetica" w:hint="eastAsia"/>
          <w:color w:val="333333"/>
          <w:kern w:val="0"/>
          <w:szCs w:val="21"/>
        </w:rPr>
        <w:br/>
        <w:t xml:space="preserve">　　3.获准立项的课题负责人在项目执行期间要遵守相关承诺，履行约定义务，按期完成研究任务。课题研究的最终成果将实行匿名通讯鉴定制度，鉴定情况予以公示。成果鉴定为优秀的课题负责人在申请新的项目时将优先考虑;被撤销课题或者课题最终成果鉴定不合格的课题负责人，两年内不能申报新的课题。</w:t>
      </w:r>
      <w:r w:rsidRPr="00BA0A50">
        <w:rPr>
          <w:rFonts w:ascii="微软雅黑" w:eastAsia="微软雅黑" w:hAnsi="微软雅黑" w:cs="Helvetica" w:hint="eastAsia"/>
          <w:color w:val="333333"/>
          <w:kern w:val="0"/>
          <w:szCs w:val="21"/>
        </w:rPr>
        <w:br/>
        <w:t xml:space="preserve">　　4.申请者及各单位科研管理部门对课题申报工作如有疑问、意见或建议，请及时与市委宣传部理论处联系。</w:t>
      </w:r>
      <w:r w:rsidRPr="00BA0A50">
        <w:rPr>
          <w:rFonts w:ascii="微软雅黑" w:eastAsia="微软雅黑" w:hAnsi="微软雅黑" w:cs="Helvetica" w:hint="eastAsia"/>
          <w:color w:val="333333"/>
          <w:kern w:val="0"/>
          <w:szCs w:val="21"/>
        </w:rPr>
        <w:br/>
        <w:t xml:space="preserve">　　5.《广州大典》与广州历史文化专题研究2017年度课题申请表和《广州大典》简介请自行在“中国广州网(</w:t>
      </w:r>
      <w:hyperlink r:id="rId9" w:history="1">
        <w:r w:rsidRPr="00BA0A50">
          <w:rPr>
            <w:rFonts w:ascii="微软雅黑" w:eastAsia="微软雅黑" w:hAnsi="微软雅黑" w:cs="Helvetica" w:hint="eastAsia"/>
            <w:color w:val="006699"/>
            <w:kern w:val="0"/>
            <w:szCs w:val="21"/>
          </w:rPr>
          <w:t>www.guangzhou.gov.cn</w:t>
        </w:r>
      </w:hyperlink>
      <w:r w:rsidRPr="00BA0A50">
        <w:rPr>
          <w:rFonts w:ascii="微软雅黑" w:eastAsia="微软雅黑" w:hAnsi="微软雅黑" w:cs="Helvetica" w:hint="eastAsia"/>
          <w:color w:val="333333"/>
          <w:kern w:val="0"/>
          <w:szCs w:val="21"/>
        </w:rPr>
        <w:t>)”或“广州社科网(</w:t>
      </w:r>
      <w:hyperlink r:id="rId10" w:history="1">
        <w:r w:rsidRPr="00BA0A50">
          <w:rPr>
            <w:rFonts w:ascii="simsun" w:eastAsia="微软雅黑" w:hAnsi="simsun" w:cs="Helvetica"/>
            <w:color w:val="333333"/>
            <w:kern w:val="0"/>
            <w:szCs w:val="21"/>
            <w:shd w:val="clear" w:color="auto" w:fill="FFFFFF"/>
          </w:rPr>
          <w:t>www.gzsk.gd.cn</w:t>
        </w:r>
      </w:hyperlink>
      <w:r w:rsidRPr="00BA0A50">
        <w:rPr>
          <w:rFonts w:ascii="微软雅黑" w:eastAsia="微软雅黑" w:hAnsi="微软雅黑" w:cs="Helvetica" w:hint="eastAsia"/>
          <w:color w:val="333333"/>
          <w:kern w:val="0"/>
          <w:szCs w:val="21"/>
        </w:rPr>
        <w:t>)查阅和下载。</w:t>
      </w:r>
    </w:p>
    <w:p w:rsidR="00F86890" w:rsidRPr="00BA0A50" w:rsidRDefault="00F86890">
      <w:bookmarkStart w:id="0" w:name="_GoBack"/>
      <w:bookmarkEnd w:id="0"/>
    </w:p>
    <w:sectPr w:rsidR="00F86890" w:rsidRPr="00BA0A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4F3" w:rsidRDefault="000A44F3" w:rsidP="00BA0A50">
      <w:r>
        <w:separator/>
      </w:r>
    </w:p>
  </w:endnote>
  <w:endnote w:type="continuationSeparator" w:id="0">
    <w:p w:rsidR="000A44F3" w:rsidRDefault="000A44F3" w:rsidP="00BA0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Helvetica">
    <w:panose1 w:val="020B0604020202020204"/>
    <w:charset w:val="00"/>
    <w:family w:val="swiss"/>
    <w:pitch w:val="variable"/>
    <w:sig w:usb0="E0002EFF" w:usb1="C0007843" w:usb2="00000009" w:usb3="00000000" w:csb0="000001FF" w:csb1="00000000"/>
  </w:font>
  <w:font w:name="simsun">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4F3" w:rsidRDefault="000A44F3" w:rsidP="00BA0A50">
      <w:r>
        <w:separator/>
      </w:r>
    </w:p>
  </w:footnote>
  <w:footnote w:type="continuationSeparator" w:id="0">
    <w:p w:rsidR="000A44F3" w:rsidRDefault="000A44F3" w:rsidP="00BA0A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078"/>
    <w:rsid w:val="000A44F3"/>
    <w:rsid w:val="004A0078"/>
    <w:rsid w:val="00BA0A50"/>
    <w:rsid w:val="00F86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9694BD-F8E0-4C95-B78A-5899DE64C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0A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A0A50"/>
    <w:rPr>
      <w:sz w:val="18"/>
      <w:szCs w:val="18"/>
    </w:rPr>
  </w:style>
  <w:style w:type="paragraph" w:styleId="a5">
    <w:name w:val="footer"/>
    <w:basedOn w:val="a"/>
    <w:link w:val="a6"/>
    <w:uiPriority w:val="99"/>
    <w:unhideWhenUsed/>
    <w:rsid w:val="00BA0A50"/>
    <w:pPr>
      <w:tabs>
        <w:tab w:val="center" w:pos="4153"/>
        <w:tab w:val="right" w:pos="8306"/>
      </w:tabs>
      <w:snapToGrid w:val="0"/>
      <w:jc w:val="left"/>
    </w:pPr>
    <w:rPr>
      <w:sz w:val="18"/>
      <w:szCs w:val="18"/>
    </w:rPr>
  </w:style>
  <w:style w:type="character" w:customStyle="1" w:styleId="a6">
    <w:name w:val="页脚 字符"/>
    <w:basedOn w:val="a0"/>
    <w:link w:val="a5"/>
    <w:uiPriority w:val="99"/>
    <w:rsid w:val="00BA0A50"/>
    <w:rPr>
      <w:sz w:val="18"/>
      <w:szCs w:val="18"/>
    </w:rPr>
  </w:style>
  <w:style w:type="character" w:styleId="a7">
    <w:name w:val="Hyperlink"/>
    <w:basedOn w:val="a0"/>
    <w:uiPriority w:val="99"/>
    <w:semiHidden/>
    <w:unhideWhenUsed/>
    <w:rsid w:val="00BA0A50"/>
    <w:rPr>
      <w:strike w:val="0"/>
      <w:dstrike w:val="0"/>
      <w:color w:val="006699"/>
      <w:u w:val="none"/>
      <w:effect w:val="none"/>
      <w:shd w:val="clear" w:color="auto" w:fill="auto"/>
    </w:rPr>
  </w:style>
  <w:style w:type="character" w:styleId="a8">
    <w:name w:val="Strong"/>
    <w:basedOn w:val="a0"/>
    <w:uiPriority w:val="22"/>
    <w:qFormat/>
    <w:rsid w:val="00BA0A50"/>
    <w:rPr>
      <w:b/>
      <w:bCs/>
    </w:rPr>
  </w:style>
  <w:style w:type="paragraph" w:styleId="a9">
    <w:name w:val="Normal (Web)"/>
    <w:basedOn w:val="a"/>
    <w:uiPriority w:val="99"/>
    <w:semiHidden/>
    <w:unhideWhenUsed/>
    <w:rsid w:val="00BA0A50"/>
    <w:pPr>
      <w:widowControl/>
      <w:spacing w:after="150"/>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271835">
      <w:bodyDiv w:val="1"/>
      <w:marLeft w:val="0"/>
      <w:marRight w:val="0"/>
      <w:marTop w:val="0"/>
      <w:marBottom w:val="0"/>
      <w:divBdr>
        <w:top w:val="none" w:sz="0" w:space="0" w:color="auto"/>
        <w:left w:val="none" w:sz="0" w:space="0" w:color="auto"/>
        <w:bottom w:val="none" w:sz="0" w:space="0" w:color="auto"/>
        <w:right w:val="none" w:sz="0" w:space="0" w:color="auto"/>
      </w:divBdr>
      <w:divsChild>
        <w:div w:id="823350369">
          <w:marLeft w:val="0"/>
          <w:marRight w:val="0"/>
          <w:marTop w:val="0"/>
          <w:marBottom w:val="0"/>
          <w:divBdr>
            <w:top w:val="none" w:sz="0" w:space="0" w:color="auto"/>
            <w:left w:val="none" w:sz="0" w:space="0" w:color="auto"/>
            <w:bottom w:val="none" w:sz="0" w:space="0" w:color="auto"/>
            <w:right w:val="none" w:sz="0" w:space="0" w:color="auto"/>
          </w:divBdr>
          <w:divsChild>
            <w:div w:id="1890528787">
              <w:marLeft w:val="-225"/>
              <w:marRight w:val="-225"/>
              <w:marTop w:val="0"/>
              <w:marBottom w:val="0"/>
              <w:divBdr>
                <w:top w:val="none" w:sz="0" w:space="0" w:color="auto"/>
                <w:left w:val="none" w:sz="0" w:space="0" w:color="auto"/>
                <w:bottom w:val="none" w:sz="0" w:space="0" w:color="auto"/>
                <w:right w:val="none" w:sz="0" w:space="0" w:color="auto"/>
              </w:divBdr>
              <w:divsChild>
                <w:div w:id="1107194908">
                  <w:marLeft w:val="0"/>
                  <w:marRight w:val="0"/>
                  <w:marTop w:val="0"/>
                  <w:marBottom w:val="0"/>
                  <w:divBdr>
                    <w:top w:val="none" w:sz="0" w:space="0" w:color="auto"/>
                    <w:left w:val="none" w:sz="0" w:space="0" w:color="auto"/>
                    <w:bottom w:val="none" w:sz="0" w:space="0" w:color="auto"/>
                    <w:right w:val="none" w:sz="0" w:space="0" w:color="auto"/>
                  </w:divBdr>
                  <w:divsChild>
                    <w:div w:id="1764834550">
                      <w:marLeft w:val="0"/>
                      <w:marRight w:val="0"/>
                      <w:marTop w:val="0"/>
                      <w:marBottom w:val="0"/>
                      <w:divBdr>
                        <w:top w:val="none" w:sz="0" w:space="0" w:color="auto"/>
                        <w:left w:val="none" w:sz="0" w:space="0" w:color="auto"/>
                        <w:bottom w:val="none" w:sz="0" w:space="0" w:color="auto"/>
                        <w:right w:val="none" w:sz="0" w:space="0" w:color="auto"/>
                      </w:divBdr>
                      <w:divsChild>
                        <w:div w:id="475681323">
                          <w:marLeft w:val="0"/>
                          <w:marRight w:val="0"/>
                          <w:marTop w:val="0"/>
                          <w:marBottom w:val="0"/>
                          <w:divBdr>
                            <w:top w:val="none" w:sz="0" w:space="0" w:color="auto"/>
                            <w:left w:val="none" w:sz="0" w:space="0" w:color="auto"/>
                            <w:bottom w:val="none" w:sz="0" w:space="0" w:color="auto"/>
                            <w:right w:val="none" w:sz="0" w:space="0" w:color="auto"/>
                          </w:divBdr>
                          <w:divsChild>
                            <w:div w:id="19017779">
                              <w:marLeft w:val="0"/>
                              <w:marRight w:val="0"/>
                              <w:marTop w:val="0"/>
                              <w:marBottom w:val="0"/>
                              <w:divBdr>
                                <w:top w:val="none" w:sz="0" w:space="0" w:color="auto"/>
                                <w:left w:val="none" w:sz="0" w:space="0" w:color="auto"/>
                                <w:bottom w:val="none" w:sz="0" w:space="0" w:color="auto"/>
                                <w:right w:val="none" w:sz="0" w:space="0" w:color="auto"/>
                              </w:divBdr>
                              <w:divsChild>
                                <w:div w:id="1259100757">
                                  <w:marLeft w:val="0"/>
                                  <w:marRight w:val="0"/>
                                  <w:marTop w:val="0"/>
                                  <w:marBottom w:val="0"/>
                                  <w:divBdr>
                                    <w:top w:val="none" w:sz="0" w:space="0" w:color="auto"/>
                                    <w:left w:val="none" w:sz="0" w:space="0" w:color="auto"/>
                                    <w:bottom w:val="none" w:sz="0" w:space="0" w:color="auto"/>
                                    <w:right w:val="none" w:sz="0" w:space="0" w:color="auto"/>
                                  </w:divBdr>
                                  <w:divsChild>
                                    <w:div w:id="114590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dadian@126.com" TargetMode="External"/><Relationship Id="rId3" Type="http://schemas.openxmlformats.org/officeDocument/2006/relationships/webSettings" Target="webSettings.xml"/><Relationship Id="rId7" Type="http://schemas.openxmlformats.org/officeDocument/2006/relationships/hyperlink" Target="http://www.gzsk.gd.c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uangzhou.gov.c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gzsk.gd.cn/" TargetMode="External"/><Relationship Id="rId4" Type="http://schemas.openxmlformats.org/officeDocument/2006/relationships/footnotes" Target="footnotes.xml"/><Relationship Id="rId9" Type="http://schemas.openxmlformats.org/officeDocument/2006/relationships/hyperlink" Target="http://www.guangzhou.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2</cp:revision>
  <dcterms:created xsi:type="dcterms:W3CDTF">2016-11-24T07:23:00Z</dcterms:created>
  <dcterms:modified xsi:type="dcterms:W3CDTF">2016-11-24T07:23:00Z</dcterms:modified>
</cp:coreProperties>
</file>