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p>
    <w:p>
      <w:pPr>
        <w:jc w:val="both"/>
        <w:rPr>
          <w:rFonts w:hint="eastAsia" w:ascii="宋体" w:hAnsi="宋体" w:eastAsia="宋体" w:cs="宋体"/>
          <w:b/>
          <w:bCs/>
          <w:sz w:val="28"/>
          <w:szCs w:val="28"/>
          <w:lang w:val="en-US" w:eastAsia="zh-CN"/>
        </w:rPr>
      </w:pPr>
    </w:p>
    <w:p>
      <w:pPr>
        <w:jc w:val="center"/>
        <w:rPr>
          <w:rFonts w:hint="eastAsia" w:ascii="黑体" w:hAnsi="黑体" w:eastAsia="黑体" w:cs="黑体"/>
          <w:b/>
          <w:bCs/>
          <w:sz w:val="36"/>
          <w:szCs w:val="36"/>
        </w:rPr>
      </w:pPr>
      <w:r>
        <w:rPr>
          <w:rFonts w:hint="eastAsia" w:ascii="黑体" w:hAnsi="黑体" w:eastAsia="黑体" w:cs="黑体"/>
          <w:b/>
          <w:bCs/>
          <w:sz w:val="36"/>
          <w:szCs w:val="36"/>
        </w:rPr>
        <w:t>广州市哲学社会科学发展“十四五”规划2022年度课题参考选题</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（92项）</w:t>
      </w:r>
      <w:bookmarkStart w:id="0" w:name="_GoBack"/>
      <w:bookmarkEnd w:id="0"/>
      <w:r>
        <w:rPr>
          <w:rFonts w:hint="eastAsia" w:ascii="宋体" w:hAnsi="宋体" w:eastAsia="宋体" w:cs="宋体"/>
          <w:i w:val="0"/>
          <w:iCs w:val="0"/>
          <w:caps w:val="0"/>
          <w:color w:val="333333"/>
          <w:spacing w:val="0"/>
          <w:sz w:val="28"/>
          <w:szCs w:val="28"/>
          <w:shd w:val="clear" w:fill="FFFFFF"/>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黑体" w:hAnsi="黑体" w:eastAsia="黑体" w:cs="黑体"/>
          <w:b/>
          <w:bCs/>
          <w:i w:val="0"/>
          <w:iCs w:val="0"/>
          <w:caps w:val="0"/>
          <w:color w:val="auto"/>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w:t>
      </w:r>
      <w:r>
        <w:rPr>
          <w:rFonts w:hint="eastAsia" w:ascii="黑体" w:hAnsi="黑体" w:eastAsia="黑体" w:cs="黑体"/>
          <w:b/>
          <w:bCs/>
          <w:i w:val="0"/>
          <w:iCs w:val="0"/>
          <w:caps w:val="0"/>
          <w:color w:val="auto"/>
          <w:spacing w:val="0"/>
          <w:sz w:val="28"/>
          <w:szCs w:val="28"/>
          <w:shd w:val="clear" w:fill="FFFFFF"/>
        </w:rPr>
        <w:t>　一、习近平新时代中国特色社会主义思想和党的十九届六中全会精神研究（15项）</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1．习近平总书记关于党的历史的重要论述的核心要义与理论创新研究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2．中国共产党百年奋斗重大成就的内在逻辑和历史意义研究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3．中国共产党百年奋斗历史经验的内在逻辑和当代价值研究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4．新时代在中国共产党百年奋斗进程中的历史地位研究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5．以伟大建党精神为源头的中国共产党精神谱系研究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6．“两个确立”的历史必然性研究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7．中国共产党积极发展全过程人民民主研究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8．人民代表大会制度理论和人大工作研究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9．加强人民政协团结引导界别群众工作研究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10．百年来中国共青团的历史使命与时代价值研究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11．正确认识和把握实现共同富裕的战略目标和实践途径研究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12．正确认识和把握资本的特性和行为规律研究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13．正确认识和把握初级产品供给保障研究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14．正确认识和把握防范化解重大风险研究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15．正确认识和把握碳达峰碳中和研究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0"/>
        <w:jc w:val="both"/>
        <w:textAlignment w:val="auto"/>
        <w:rPr>
          <w:rFonts w:hint="eastAsia" w:ascii="宋体" w:hAnsi="宋体" w:eastAsia="宋体" w:cs="宋体"/>
          <w:i w:val="0"/>
          <w:iCs w:val="0"/>
          <w:caps w:val="0"/>
          <w:color w:val="333333"/>
          <w:spacing w:val="0"/>
          <w:sz w:val="24"/>
          <w:szCs w:val="24"/>
          <w:shd w:val="clear"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黑体" w:hAnsi="黑体" w:eastAsia="黑体" w:cs="黑体"/>
          <w:b/>
          <w:bCs/>
          <w:i w:val="0"/>
          <w:iCs w:val="0"/>
          <w:caps w:val="0"/>
          <w:color w:val="auto"/>
          <w:spacing w:val="0"/>
          <w:sz w:val="28"/>
          <w:szCs w:val="28"/>
          <w:shd w:val="clear" w:fill="FFFFFF"/>
        </w:rPr>
      </w:pPr>
      <w:r>
        <w:rPr>
          <w:rFonts w:hint="eastAsia" w:ascii="宋体" w:hAnsi="宋体" w:eastAsia="宋体" w:cs="宋体"/>
          <w:i w:val="0"/>
          <w:iCs w:val="0"/>
          <w:caps w:val="0"/>
          <w:color w:val="333333"/>
          <w:spacing w:val="0"/>
          <w:sz w:val="24"/>
          <w:szCs w:val="24"/>
          <w:shd w:val="clear" w:fill="FFFFFF"/>
        </w:rPr>
        <w:t>　　</w:t>
      </w:r>
      <w:r>
        <w:rPr>
          <w:rFonts w:hint="eastAsia" w:ascii="黑体" w:hAnsi="黑体" w:eastAsia="黑体" w:cs="黑体"/>
          <w:b/>
          <w:bCs/>
          <w:i w:val="0"/>
          <w:iCs w:val="0"/>
          <w:caps w:val="0"/>
          <w:color w:val="auto"/>
          <w:spacing w:val="0"/>
          <w:sz w:val="28"/>
          <w:szCs w:val="28"/>
          <w:shd w:val="clear" w:fill="FFFFFF"/>
        </w:rPr>
        <w:t>二、广州坚定不移推动实现老城市新活力、“四个出新出彩”实践研究（65项）</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16．广州全面增强国际商贸中心功能，推动千年商都向现代商都跃升研究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17．广州全面增强综合交通枢纽功能研究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18．广州培育提升科技教育文化中心功能研究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19．广州坚持人民城市定位推进城市高质量发展研究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20．广州共建粤港澳大湾区高水平人才高地研究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21．广州推动共建大湾区国际科技创新中心研究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22．广州打造科技创新策源地研究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23．广州打造国际科技成果转移转化中心研究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24．广州筑牢实体经济根基，构建现代产业体系研究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25．广州建设先进制造业强市研究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26．广州建设“双创”（创新创业）示范基地研究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27．广州打造直播电商之都研究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28．广州建设“中小企业能办大事”创新示范区研究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29．广州构建战略性新兴产业体系研究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30．广州高质量培育现代化企业梯队研究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31．广州建设国家级国际传播创新研究基地研究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32．广州建设现代服务业强市研究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33．广州培育建设国际消费中心城市研究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34．广州强化粤港大湾区核心引擎功能研究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35．广州服务港澳融入国家发展大局研究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36．广深合作推进建设世界级“双子城”研究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37．广州引领全省“一核一带一区”发展研究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38．广州融入国家重大区域发展战略研究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39．广州深入营商环境创新试点工作研究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40．广州高水平建设一带一路重要枢纽城市研究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41．广州高标准建设国际交往中心研究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42．广州推进海洋科技与产业发展研究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43．广州建设数字经济引领型城市和国际一流智慧城市研究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44．广州构建数产融合的数字经济研究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45．广州推动全面数字化转型研究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46．广州建设数字社会和数字政府研究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47．广州提升城市能级和核心竞争力研究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48．广州加快低碳发展推动绿色化转型研究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49．广州创建粤港澳大湾区金融合作示范区研究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50．碳达峰碳中和背景下打造广州绿色金融中心研究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51．广州提升国际综合交通枢纽能级研究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52．广州科学有序实施城市更新行动研究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53．广州加强城市精细化品质化管理研究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54．广州推动城市空间布局优化研究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55．保护传承岭南文化与广州城市文脉体系研究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56．广州保持历史文化和时代特色共生的岭南城市特色风貌研究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57．广州加强珠江沿岸历史文化保护传承研究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58．广州推进乡村振兴，推动城乡融合发展研究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59．增强广州民营企业参与乡村振兴内生动力问题研究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60．广州金融支持乡村振兴与乡村新型土地利用模式研究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61．广州打造法治中国标杆城市研究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62．广州民营企业家参与涉企政策制定机制研究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63．广州激活文化产业活力研究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64．广州建设具有创新引领力的文化创意产业中心研究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65．广州高标准建设红色文化传承弘扬示范区研究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66．广州建设世界体育名城研究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67．广州建设中国特色社会主义美好生活示范区研究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68．广州市推进依法管网营造清朗网络空间研究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69．坚持共同富裕方向建设幸福广州研究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70．广州建设粤港澳大湾区教育改革与发展示范城市研究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71．广州建设中医药强市研究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72．广州打造具有国际影响力的医疗高地研究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73．广州建设市域社会治理现代化示范城市研究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74．广州积极应对人口老龄化研究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75．广州建设可亲可爱的儿童友好型城市研究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76．广州建设温馨温暖的老年友好型城市研究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77．广州建设青年友好型城市的理论与实践研究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78．服务粤港澳大湾区建设，开创人民政协统一战线工作新局面研究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79．新时代广州铸牢中华民族共同体意识研究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80．广州提升党建引领城市基层治理效能研究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w:t>
      </w:r>
      <w:r>
        <w:rPr>
          <w:rFonts w:hint="eastAsia" w:ascii="黑体" w:hAnsi="黑体" w:eastAsia="黑体" w:cs="黑体"/>
          <w:b/>
          <w:bCs/>
          <w:i w:val="0"/>
          <w:iCs w:val="0"/>
          <w:caps w:val="0"/>
          <w:color w:val="auto"/>
          <w:spacing w:val="0"/>
          <w:sz w:val="28"/>
          <w:szCs w:val="28"/>
          <w:shd w:val="clear" w:fill="FFFFFF"/>
        </w:rPr>
        <w:t>　三、《广州大典》与广州历史文化研究（12项）</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81．中国社会主义青年团第一次全国代表大会研究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82．广东早期地方党组织研究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83．马克思主义在广东的早期传播研究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84．毛泽东大革命时期在广州研究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85．周恩来大革命时期在广州研究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86．人民军队起源研究—从孙中山大元帅府铁甲车队到组建叶挺独立团</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87．岭南文化代表人物研究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88．民国时期广州民办报刊的整理与研究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xml:space="preserve">　　89．大革命时期广州政治出版活动研究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90．广州市档案资源体系建设研究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91．广州城市传统中轴线（近代）标志性建筑档案整理和研究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92．《广州大典》戏曲（1911年前）文献整理与研究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6C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2022-01-08T02:51:46Z</dcterms:created>
  <dc:creator>综合科2</dc:creator>
  <cp:lastModifiedBy>solarmoon</cp:lastModifiedBy>
  <dcterms:modified xsi:type="dcterms:W3CDTF">2022-01-08T02:56:50Z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D1E667E515624578ABD630E07ECD3932</vt:lpwstr>
  </property>
</Properties>
</file>