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Cs/>
          <w:spacing w:val="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pacing w:val="12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Times New Roman"/>
          <w:bCs/>
          <w:spacing w:val="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pacing w:val="12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spacing w:val="12"/>
          <w:kern w:val="2"/>
          <w:sz w:val="44"/>
          <w:szCs w:val="44"/>
          <w:lang w:val="en-US" w:eastAsia="zh-CN" w:bidi="ar-SA"/>
        </w:rPr>
        <w:t>佛山市2024年度社科规划项目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pacing w:val="12"/>
          <w:kern w:val="2"/>
          <w:sz w:val="44"/>
          <w:szCs w:val="44"/>
          <w:lang w:val="en-US" w:eastAsia="zh-CN" w:bidi="ar-SA"/>
        </w:rPr>
        <w:t>“重大项目、重点项目”选题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重大项目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以“五外联动”</w:t>
      </w:r>
      <w:r>
        <w:rPr>
          <w:rStyle w:val="6"/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footnoteReference w:id="0"/>
      </w: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高水平对外开放推动佛山高质量发展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借鉴国内</w:t>
      </w:r>
      <w:r>
        <w:rPr>
          <w:rFonts w:hint="eastAsia" w:eastAsia="宋体"/>
          <w:color w:val="auto"/>
          <w:sz w:val="28"/>
          <w:szCs w:val="28"/>
          <w:u w:val="none"/>
          <w:shd w:val="clear" w:color="auto" w:fill="auto"/>
          <w:lang w:val="en-US" w:eastAsia="zh-CN"/>
        </w:rPr>
        <w:t>先进乡村振兴经验</w:t>
      </w: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，大力推动</w:t>
      </w:r>
      <w:r>
        <w:rPr>
          <w:rFonts w:hint="eastAsia" w:eastAsia="宋体"/>
          <w:color w:val="auto"/>
          <w:sz w:val="28"/>
          <w:szCs w:val="28"/>
          <w:u w:val="none"/>
          <w:shd w:val="clear" w:color="auto" w:fill="auto"/>
          <w:lang w:val="en-US" w:eastAsia="zh-CN"/>
        </w:rPr>
        <w:t>佛山“百千万工程”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佛山传统制造企业数智化转型的瓶颈与突破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  <w:shd w:val="clear" w:color="auto" w:fill="auto"/>
          <w:lang w:val="en-US" w:eastAsia="zh-CN"/>
        </w:rPr>
        <w:t>如何提升佛山中小企业数字经济下的科技创新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eastAsia="宋体"/>
          <w:color w:val="auto"/>
          <w:sz w:val="28"/>
          <w:szCs w:val="28"/>
          <w:u w:val="none"/>
          <w:shd w:val="clear" w:color="auto" w:fill="auto"/>
          <w:lang w:val="en-US" w:eastAsia="zh-CN"/>
        </w:rPr>
        <w:t>佛山传统文化创造性转化、创新性发展研究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u w:val="none"/>
          <w:lang w:val="en-US" w:eastAsia="zh-CN"/>
        </w:rPr>
        <w:t>重点项目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佛山推进制造业当家存在的不足与突破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佛山市场化营商环境建设的现状、问题及对策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如何借力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“百千万工程”，</w:t>
      </w:r>
      <w:r>
        <w:rPr>
          <w:rFonts w:hint="eastAsia"/>
          <w:sz w:val="28"/>
          <w:szCs w:val="28"/>
          <w:u w:val="none"/>
          <w:lang w:val="en-US" w:eastAsia="zh-CN"/>
        </w:rPr>
        <w:t>推动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佛山区域协调发展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佛山重点行业绿色化改造的思考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如何加强佛山普惠托育服务体系建设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如何提升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数字背景下的佛山社会治理效能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在粤港澳大湾区建设中凸显佛山力量的路径探索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佛山卓越工程师培育的路径探索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sz w:val="28"/>
          <w:szCs w:val="28"/>
          <w:u w:val="none"/>
          <w:lang w:val="en-US" w:eastAsia="zh-CN"/>
        </w:rPr>
        <w:t>南海、顺德省级实验区改革经验与启示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5" w:leftChars="0" w:hanging="225" w:firstLineChars="0"/>
        <w:textAlignment w:val="auto"/>
        <w:rPr>
          <w:rFonts w:hint="eastAsia" w:eastAsia="宋体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提升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佛山</w:t>
      </w:r>
      <w:r>
        <w:rPr>
          <w:rFonts w:hint="eastAsia"/>
          <w:sz w:val="28"/>
          <w:szCs w:val="28"/>
          <w:u w:val="none"/>
          <w:lang w:val="en-US" w:eastAsia="zh-CN"/>
        </w:rPr>
        <w:t>与</w:t>
      </w:r>
      <w:r>
        <w:rPr>
          <w:rFonts w:hint="eastAsia" w:eastAsia="宋体"/>
          <w:sz w:val="28"/>
          <w:szCs w:val="28"/>
          <w:u w:val="none"/>
          <w:lang w:val="en-US" w:eastAsia="zh-CN"/>
        </w:rPr>
        <w:t>黔东南</w:t>
      </w:r>
      <w:r>
        <w:rPr>
          <w:rFonts w:hint="eastAsia"/>
          <w:sz w:val="28"/>
          <w:szCs w:val="28"/>
          <w:u w:val="none"/>
          <w:lang w:val="en-US" w:eastAsia="zh-CN"/>
        </w:rPr>
        <w:t>合作共赢的探索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keepNext w:val="0"/>
        <w:keepLines w:val="0"/>
        <w:widowControl/>
        <w:suppressLineNumbers w:val="0"/>
        <w:jc w:val="left"/>
        <w:rPr>
          <w:b w:val="0"/>
          <w:bCs w:val="0"/>
          <w:color w:val="auto"/>
        </w:rPr>
      </w:pPr>
      <w:r>
        <w:rPr>
          <w:rFonts w:hint="default"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footnoteRef/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“</w:t>
      </w:r>
      <w:r>
        <w:rPr>
          <w:rStyle w:val="5"/>
          <w:rFonts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五外联动”：</w:t>
      </w:r>
      <w:r>
        <w:rPr>
          <w:rFonts w:hint="default" w:ascii="Arial" w:hAnsi="Arial" w:eastAsia="宋体" w:cs="Arial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在外贸、外资、外包、外经、外智五个方面采取联合行动策略。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E44F2"/>
    <w:multiLevelType w:val="singleLevel"/>
    <w:tmpl w:val="FB3E44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ZTcwODI4NmQxN2RiYzRjM2JjYjUyNWI4YzdjNWYifQ=="/>
  </w:docVars>
  <w:rsids>
    <w:rsidRoot w:val="7EEAB625"/>
    <w:rsid w:val="2B7D8CF8"/>
    <w:rsid w:val="2BD53297"/>
    <w:rsid w:val="344C2962"/>
    <w:rsid w:val="437144E4"/>
    <w:rsid w:val="5EDFF775"/>
    <w:rsid w:val="6567278B"/>
    <w:rsid w:val="67E5ED2C"/>
    <w:rsid w:val="6B6FE7BE"/>
    <w:rsid w:val="6CC23802"/>
    <w:rsid w:val="6D5BCA95"/>
    <w:rsid w:val="6EBD7836"/>
    <w:rsid w:val="6ED38BAD"/>
    <w:rsid w:val="723F1645"/>
    <w:rsid w:val="769EE008"/>
    <w:rsid w:val="7D79628E"/>
    <w:rsid w:val="7EEAB625"/>
    <w:rsid w:val="7F9DCFCB"/>
    <w:rsid w:val="7FBB66DD"/>
    <w:rsid w:val="7FEE1C0E"/>
    <w:rsid w:val="AFEFCD53"/>
    <w:rsid w:val="BCB6924E"/>
    <w:rsid w:val="BDF7B11E"/>
    <w:rsid w:val="BFF33E34"/>
    <w:rsid w:val="DEB70DDE"/>
    <w:rsid w:val="E77BFEC6"/>
    <w:rsid w:val="EBD70DF7"/>
    <w:rsid w:val="EE95ECAB"/>
    <w:rsid w:val="EEDEB83E"/>
    <w:rsid w:val="EFCFE711"/>
    <w:rsid w:val="EFEC1C96"/>
    <w:rsid w:val="EFFA1551"/>
    <w:rsid w:val="F6978ECE"/>
    <w:rsid w:val="FCEF2FDB"/>
    <w:rsid w:val="FE2D408D"/>
    <w:rsid w:val="FE3D23F2"/>
    <w:rsid w:val="FF77A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otnote reference"/>
    <w:basedOn w:val="4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2024-02-22T00:28:00Z</dcterms:created>
  <dc:creator>thtf</dc:creator>
  <cp:lastModifiedBy>solarmoon</cp:lastModifiedBy>
  <cp:lastPrinted>2024-02-29T17:36:06Z</cp:lastPrinted>
  <dcterms:modified xsi:type="dcterms:W3CDTF">2024-03-01T06:44:24Z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D9821964439740C9BA70F1F5426F9BB6_13</vt:lpwstr>
  </property>
</Properties>
</file>