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B4130">
      <w:pPr>
        <w:autoSpaceDE/>
        <w:autoSpaceDN/>
        <w:spacing w:line="560" w:lineRule="exact"/>
        <w:jc w:val="both"/>
        <w:rPr>
          <w:rFonts w:hint="eastAsia" w:eastAsia="黑体"/>
          <w:kern w:val="2"/>
          <w:sz w:val="32"/>
          <w:szCs w:val="32"/>
          <w:lang w:eastAsia="zh-CN"/>
        </w:rPr>
      </w:pPr>
      <w:bookmarkStart w:id="0" w:name="_GoBack"/>
      <w:bookmarkEnd w:id="0"/>
      <w:r>
        <w:rPr>
          <w:rFonts w:eastAsia="黑体"/>
          <w:kern w:val="2"/>
          <w:sz w:val="32"/>
          <w:szCs w:val="32"/>
          <w:lang w:eastAsia="zh-CN"/>
        </w:rPr>
        <w:t>附件</w:t>
      </w:r>
      <w:r>
        <w:rPr>
          <w:rFonts w:hint="eastAsia" w:eastAsia="黑体"/>
          <w:kern w:val="2"/>
          <w:sz w:val="32"/>
          <w:szCs w:val="32"/>
          <w:lang w:eastAsia="zh-CN"/>
        </w:rPr>
        <w:t xml:space="preserve"> 1</w:t>
      </w:r>
    </w:p>
    <w:p w14:paraId="5B005606">
      <w:pPr>
        <w:autoSpaceDE/>
        <w:autoSpaceDN/>
        <w:spacing w:line="560" w:lineRule="exact"/>
        <w:jc w:val="both"/>
        <w:rPr>
          <w:rFonts w:eastAsia="黑体"/>
          <w:kern w:val="2"/>
          <w:sz w:val="32"/>
          <w:szCs w:val="32"/>
          <w:lang w:eastAsia="zh-CN"/>
        </w:rPr>
      </w:pPr>
    </w:p>
    <w:p w14:paraId="383A0919">
      <w:pPr>
        <w:autoSpaceDE/>
        <w:autoSpaceDN/>
        <w:spacing w:line="560" w:lineRule="exact"/>
        <w:jc w:val="center"/>
        <w:rPr>
          <w:rFonts w:eastAsia="方正小标宋简体"/>
          <w:kern w:val="2"/>
          <w:sz w:val="40"/>
          <w:szCs w:val="40"/>
          <w:lang w:eastAsia="zh-CN"/>
        </w:rPr>
      </w:pPr>
      <w:r>
        <w:rPr>
          <w:rFonts w:eastAsia="方正小标宋简体"/>
          <w:kern w:val="2"/>
          <w:sz w:val="40"/>
          <w:szCs w:val="40"/>
          <w:lang w:eastAsia="zh-CN"/>
        </w:rPr>
        <w:t>广东省2025年度教育科学规划课题</w:t>
      </w:r>
    </w:p>
    <w:p w14:paraId="456497F0">
      <w:pPr>
        <w:autoSpaceDE/>
        <w:autoSpaceDN/>
        <w:spacing w:line="560" w:lineRule="exact"/>
        <w:jc w:val="center"/>
        <w:rPr>
          <w:rFonts w:eastAsia="方正小标宋简体"/>
          <w:kern w:val="2"/>
          <w:sz w:val="40"/>
          <w:szCs w:val="40"/>
          <w:lang w:eastAsia="zh-CN"/>
        </w:rPr>
      </w:pPr>
      <w:r>
        <w:rPr>
          <w:rFonts w:eastAsia="方正小标宋简体"/>
          <w:kern w:val="2"/>
          <w:sz w:val="40"/>
          <w:szCs w:val="40"/>
          <w:lang w:eastAsia="zh-CN"/>
        </w:rPr>
        <w:t>（教育综合改革专项）选题指引</w:t>
      </w:r>
    </w:p>
    <w:p w14:paraId="54430154">
      <w:pPr>
        <w:autoSpaceDE/>
        <w:autoSpaceDN/>
        <w:spacing w:line="560" w:lineRule="exact"/>
        <w:jc w:val="center"/>
        <w:rPr>
          <w:rFonts w:eastAsia="方正小标宋简体"/>
          <w:kern w:val="2"/>
          <w:sz w:val="44"/>
          <w:szCs w:val="44"/>
          <w:lang w:eastAsia="zh-CN"/>
        </w:rPr>
      </w:pPr>
    </w:p>
    <w:tbl>
      <w:tblPr>
        <w:tblStyle w:val="8"/>
        <w:tblW w:w="13617"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76"/>
        <w:gridCol w:w="4155"/>
        <w:gridCol w:w="3679"/>
        <w:gridCol w:w="1399"/>
        <w:gridCol w:w="1378"/>
      </w:tblGrid>
      <w:tr w14:paraId="0BF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0" w:type="dxa"/>
            <w:noWrap w:val="0"/>
            <w:vAlign w:val="center"/>
          </w:tcPr>
          <w:p w14:paraId="203871B2">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序号</w:t>
            </w:r>
          </w:p>
        </w:tc>
        <w:tc>
          <w:tcPr>
            <w:tcW w:w="2276" w:type="dxa"/>
            <w:noWrap w:val="0"/>
            <w:vAlign w:val="center"/>
          </w:tcPr>
          <w:p w14:paraId="3AC382F6">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选题名称</w:t>
            </w:r>
          </w:p>
        </w:tc>
        <w:tc>
          <w:tcPr>
            <w:tcW w:w="4155" w:type="dxa"/>
            <w:noWrap w:val="0"/>
            <w:vAlign w:val="center"/>
          </w:tcPr>
          <w:p w14:paraId="40EBD0CC">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选题意义</w:t>
            </w:r>
          </w:p>
        </w:tc>
        <w:tc>
          <w:tcPr>
            <w:tcW w:w="3679" w:type="dxa"/>
            <w:noWrap w:val="0"/>
            <w:vAlign w:val="center"/>
          </w:tcPr>
          <w:p w14:paraId="595EEAB8">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研究内容</w:t>
            </w:r>
          </w:p>
        </w:tc>
        <w:tc>
          <w:tcPr>
            <w:tcW w:w="1399" w:type="dxa"/>
            <w:noWrap w:val="0"/>
            <w:vAlign w:val="center"/>
          </w:tcPr>
          <w:p w14:paraId="1FA90A1F">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联系电话</w:t>
            </w:r>
          </w:p>
        </w:tc>
        <w:tc>
          <w:tcPr>
            <w:tcW w:w="1378" w:type="dxa"/>
            <w:noWrap w:val="0"/>
            <w:vAlign w:val="center"/>
          </w:tcPr>
          <w:p w14:paraId="5FA0A385">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指导处室</w:t>
            </w:r>
          </w:p>
        </w:tc>
      </w:tr>
      <w:tr w14:paraId="2D31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E4124A0">
            <w:pPr>
              <w:widowControl/>
              <w:numPr>
                <w:ilvl w:val="0"/>
                <w:numId w:val="0"/>
              </w:numPr>
              <w:autoSpaceDE/>
              <w:spacing w:line="0" w:lineRule="atLeast"/>
              <w:ind w:firstLine="240" w:firstLineChars="1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w:t>
            </w:r>
          </w:p>
        </w:tc>
        <w:tc>
          <w:tcPr>
            <w:tcW w:w="2276" w:type="dxa"/>
            <w:noWrap w:val="0"/>
            <w:vAlign w:val="center"/>
          </w:tcPr>
          <w:p w14:paraId="39AE9D1E">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教育强省建设背景下教育评价改革的路径与策略研究</w:t>
            </w:r>
          </w:p>
        </w:tc>
        <w:tc>
          <w:tcPr>
            <w:tcW w:w="4155" w:type="dxa"/>
            <w:noWrap w:val="0"/>
            <w:vAlign w:val="center"/>
          </w:tcPr>
          <w:p w14:paraId="359D3B24">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化新时代教育评价改革，是习近平总书记亲自谋划、亲自部署、亲自推动的时代命题。《教育强国建设规划纲要（2024－2035年）》对深化教育评价改革进行了部署。教育评价改革事关教育发展方向，事关建设教育强国成败，具有重大政治意义、时代意义和实践意义。</w:t>
            </w:r>
          </w:p>
        </w:tc>
        <w:tc>
          <w:tcPr>
            <w:tcW w:w="3679" w:type="dxa"/>
            <w:noWrap w:val="0"/>
            <w:vAlign w:val="center"/>
          </w:tcPr>
          <w:p w14:paraId="56F501FD">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紧扣教育强国、教育强省建设目标，聚焦改革党委和政府、学校、教师、学生、社会五类主体，着力破解当前教育评价改革的难点堵点问题，探索面向教育强省建设如何推进教育评价改革，为构建多元主体参与、符合我省实际、具有世界水平的教育评价体系建言献策。</w:t>
            </w:r>
          </w:p>
        </w:tc>
        <w:tc>
          <w:tcPr>
            <w:tcW w:w="1399" w:type="dxa"/>
            <w:vMerge w:val="restart"/>
            <w:noWrap w:val="0"/>
            <w:vAlign w:val="center"/>
          </w:tcPr>
          <w:p w14:paraId="5F213D10">
            <w:pPr>
              <w:widowControl/>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020-37626956</w:t>
            </w:r>
          </w:p>
        </w:tc>
        <w:tc>
          <w:tcPr>
            <w:tcW w:w="1378" w:type="dxa"/>
            <w:vMerge w:val="restart"/>
            <w:noWrap w:val="0"/>
            <w:vAlign w:val="center"/>
          </w:tcPr>
          <w:p w14:paraId="1912C9D6">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t>省委教育办秘书处</w:t>
            </w:r>
          </w:p>
        </w:tc>
      </w:tr>
      <w:tr w14:paraId="26CF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18423B41">
            <w:pPr>
              <w:numPr>
                <w:ilvl w:val="0"/>
                <w:numId w:val="0"/>
              </w:numPr>
              <w:autoSpaceDE/>
              <w:spacing w:line="0" w:lineRule="atLeast"/>
              <w:ind w:firstLine="240" w:firstLineChars="1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p>
        </w:tc>
        <w:tc>
          <w:tcPr>
            <w:tcW w:w="2276" w:type="dxa"/>
            <w:noWrap w:val="0"/>
            <w:vAlign w:val="center"/>
          </w:tcPr>
          <w:p w14:paraId="02EA180D">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信息技术赋能教育评价改革研究</w:t>
            </w:r>
          </w:p>
        </w:tc>
        <w:tc>
          <w:tcPr>
            <w:tcW w:w="4155" w:type="dxa"/>
            <w:noWrap w:val="0"/>
            <w:vAlign w:val="center"/>
          </w:tcPr>
          <w:p w14:paraId="0A028C34">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评价改革是一项世界性、历史性、实践性难题。随着人工智能、大数据、区块链等新一代数字技术的教育应用，数字技术推动教育评价深刻变革，为破解教育评价难题、全面深化教育评价改革带来了重要机遇。</w:t>
            </w:r>
          </w:p>
        </w:tc>
        <w:tc>
          <w:tcPr>
            <w:tcW w:w="3679" w:type="dxa"/>
            <w:noWrap w:val="0"/>
            <w:vAlign w:val="center"/>
          </w:tcPr>
          <w:p w14:paraId="4F59A144">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在教育数字化转型的背景下，如何发挥新一代数字技术优势，推动教育评价理念与方式的“迭代升级”，切实扭转不科学的教育评价导向，为教育高质量发展保驾护航。</w:t>
            </w:r>
          </w:p>
        </w:tc>
        <w:tc>
          <w:tcPr>
            <w:tcW w:w="1399" w:type="dxa"/>
            <w:vMerge w:val="continue"/>
            <w:noWrap w:val="0"/>
            <w:vAlign w:val="center"/>
          </w:tcPr>
          <w:p w14:paraId="5D195D0F">
            <w:pPr>
              <w:widowControl/>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469CCA84">
            <w:pPr>
              <w:autoSpaceDE/>
              <w:autoSpaceDN/>
              <w:spacing w:line="0" w:lineRule="atLeast"/>
              <w:jc w:val="center"/>
              <w:rPr>
                <w:rFonts w:hint="eastAsia" w:ascii="仿宋_GB2312" w:hAnsi="仿宋_GB2312" w:eastAsia="仿宋_GB2312" w:cs="仿宋_GB2312"/>
                <w:kern w:val="2"/>
                <w:sz w:val="24"/>
                <w:szCs w:val="24"/>
                <w:lang w:eastAsia="zh-CN"/>
              </w:rPr>
            </w:pPr>
          </w:p>
        </w:tc>
      </w:tr>
      <w:tr w14:paraId="7899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30" w:type="dxa"/>
            <w:noWrap w:val="0"/>
            <w:vAlign w:val="center"/>
          </w:tcPr>
          <w:p w14:paraId="747D5B11">
            <w:pPr>
              <w:widowControl/>
              <w:numPr>
                <w:ilvl w:val="0"/>
                <w:numId w:val="0"/>
              </w:numPr>
              <w:autoSpaceDE/>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p>
        </w:tc>
        <w:tc>
          <w:tcPr>
            <w:tcW w:w="2276" w:type="dxa"/>
            <w:noWrap w:val="0"/>
            <w:vAlign w:val="center"/>
          </w:tcPr>
          <w:p w14:paraId="73C70ECE">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深化党委和政府教育工作评价研究</w:t>
            </w:r>
          </w:p>
        </w:tc>
        <w:tc>
          <w:tcPr>
            <w:tcW w:w="4155" w:type="dxa"/>
            <w:noWrap w:val="0"/>
            <w:vAlign w:val="center"/>
          </w:tcPr>
          <w:p w14:paraId="0B3BCD0B">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党委和政府是教育评价改革的五大主体之一，是深化教育评价改革关键推动力量。改革党委和政府教育工作评价，能够引导党委和政府牢固树立正确的教育政绩观，把全面贯彻党的教育方针和中央关于教育的决策部署落到实处，营造良好的教育生态。</w:t>
            </w:r>
          </w:p>
        </w:tc>
        <w:tc>
          <w:tcPr>
            <w:tcW w:w="3679" w:type="dxa"/>
            <w:noWrap w:val="0"/>
            <w:vAlign w:val="center"/>
          </w:tcPr>
          <w:p w14:paraId="07576099">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作为教育评价改革第一主体，如何通过改革党委和政府履行教育职责评价，引导各级党委和政府牢固树立正确的教育政绩观、发展观，把稳“方向盘”、压实“责任链”、扭转“功利化”，积极组织调动各方力量，切实为教育强省作贡献。</w:t>
            </w:r>
          </w:p>
        </w:tc>
        <w:tc>
          <w:tcPr>
            <w:tcW w:w="1399" w:type="dxa"/>
            <w:vMerge w:val="continue"/>
            <w:noWrap w:val="0"/>
            <w:vAlign w:val="center"/>
          </w:tcPr>
          <w:p w14:paraId="10CCF47A">
            <w:pPr>
              <w:widowControl/>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74A4E1E3">
            <w:pPr>
              <w:autoSpaceDE/>
              <w:autoSpaceDN/>
              <w:spacing w:line="0" w:lineRule="atLeast"/>
              <w:jc w:val="center"/>
              <w:rPr>
                <w:rFonts w:hint="eastAsia" w:ascii="仿宋_GB2312" w:hAnsi="仿宋_GB2312" w:eastAsia="仿宋_GB2312" w:cs="仿宋_GB2312"/>
                <w:kern w:val="2"/>
                <w:sz w:val="24"/>
                <w:szCs w:val="24"/>
                <w:lang w:eastAsia="zh-CN"/>
              </w:rPr>
            </w:pPr>
          </w:p>
        </w:tc>
      </w:tr>
      <w:tr w14:paraId="337E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BBBE387">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w:t>
            </w:r>
          </w:p>
        </w:tc>
        <w:tc>
          <w:tcPr>
            <w:tcW w:w="2276" w:type="dxa"/>
            <w:noWrap w:val="0"/>
            <w:vAlign w:val="center"/>
          </w:tcPr>
          <w:p w14:paraId="7E494781">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新时代高校保密工作规范化标准体系研究</w:t>
            </w:r>
          </w:p>
        </w:tc>
        <w:tc>
          <w:tcPr>
            <w:tcW w:w="4155" w:type="dxa"/>
            <w:noWrap w:val="0"/>
            <w:vAlign w:val="center"/>
          </w:tcPr>
          <w:p w14:paraId="233CEE89">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高校是科学研究的重要力量，同时承担大量涉及重大国防军工科研项目、尖端技术以及国家重要政策研究任务。但高校具有人员流动性较强、涉密场所和设备分散、对外交流较频繁等特点，保密管理难度大，特别是不同高校保密管理水平参差不齐，迫切需要建立一套高校保密管理规范化的标准体系，来指导高校切实提升保密管理水平，增强保密防范能力。</w:t>
            </w:r>
          </w:p>
        </w:tc>
        <w:tc>
          <w:tcPr>
            <w:tcW w:w="3679" w:type="dxa"/>
            <w:noWrap w:val="0"/>
            <w:vAlign w:val="center"/>
          </w:tcPr>
          <w:p w14:paraId="4B3216A0">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调研当前高校保密管理存在的短板弱项。针对不同高校，通过现场座谈和问卷调查</w:t>
            </w:r>
            <w:r>
              <w:rPr>
                <w:rFonts w:hint="eastAsia" w:ascii="仿宋_GB2312" w:hAnsi="仿宋_GB2312" w:eastAsia="仿宋_GB2312" w:cs="仿宋_GB2312"/>
                <w:kern w:val="2"/>
                <w:sz w:val="24"/>
                <w:szCs w:val="24"/>
                <w:lang w:val="en-US" w:eastAsia="zh-CN" w:bidi="ar"/>
              </w:rPr>
              <w:t>等</w:t>
            </w:r>
            <w:r>
              <w:rPr>
                <w:rFonts w:hint="eastAsia" w:ascii="仿宋_GB2312" w:hAnsi="仿宋_GB2312" w:eastAsia="仿宋_GB2312" w:cs="仿宋_GB2312"/>
                <w:kern w:val="2"/>
                <w:sz w:val="24"/>
                <w:szCs w:val="24"/>
                <w:lang w:eastAsia="zh-CN" w:bidi="ar"/>
              </w:rPr>
              <w:t>方式，梳理新时代高校保密管理的痛点难点和堵点。</w:t>
            </w:r>
          </w:p>
          <w:p w14:paraId="38088BC1">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结合新修订的保密法律法规，从保密工作体系、日常管理、技术防范、场所建设等方面制定规范化管理的标准体系指标。</w:t>
            </w:r>
          </w:p>
          <w:p w14:paraId="0A98CFE8">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选取若干高校作为试点，对标准体系指标进行示范验证，进一步完善指标。</w:t>
            </w:r>
          </w:p>
          <w:p w14:paraId="1702A674">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bidi="ar"/>
              </w:rPr>
              <w:t>4.</w:t>
            </w:r>
            <w:r>
              <w:rPr>
                <w:rFonts w:hint="eastAsia" w:ascii="仿宋_GB2312" w:hAnsi="仿宋_GB2312" w:eastAsia="仿宋_GB2312" w:cs="仿宋_GB2312"/>
                <w:kern w:val="2"/>
                <w:sz w:val="24"/>
                <w:szCs w:val="24"/>
                <w:lang w:eastAsia="zh-CN" w:bidi="ar"/>
              </w:rPr>
              <w:t>力争形成广东省高校保密管理规范化标准，在全省乃至全国高校进行推广。</w:t>
            </w:r>
          </w:p>
        </w:tc>
        <w:tc>
          <w:tcPr>
            <w:tcW w:w="1399" w:type="dxa"/>
            <w:noWrap w:val="0"/>
            <w:vAlign w:val="center"/>
          </w:tcPr>
          <w:p w14:paraId="1B1BDA1F">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020-37626951</w:t>
            </w:r>
          </w:p>
        </w:tc>
        <w:tc>
          <w:tcPr>
            <w:tcW w:w="1378" w:type="dxa"/>
            <w:vMerge w:val="restart"/>
            <w:noWrap w:val="0"/>
            <w:vAlign w:val="center"/>
          </w:tcPr>
          <w:p w14:paraId="76A8F69F">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办公室（省语委办）</w:t>
            </w:r>
          </w:p>
        </w:tc>
      </w:tr>
      <w:tr w14:paraId="3759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56477F9">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w:t>
            </w:r>
          </w:p>
        </w:tc>
        <w:tc>
          <w:tcPr>
            <w:tcW w:w="2276" w:type="dxa"/>
            <w:noWrap w:val="0"/>
            <w:vAlign w:val="center"/>
          </w:tcPr>
          <w:p w14:paraId="47E5BC7E">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数字化赋能国家语言文字推广普及的机制创新与现代化治理研究</w:t>
            </w:r>
          </w:p>
        </w:tc>
        <w:tc>
          <w:tcPr>
            <w:tcW w:w="4155" w:type="dxa"/>
            <w:noWrap w:val="0"/>
            <w:vAlign w:val="center"/>
          </w:tcPr>
          <w:p w14:paraId="5CE273A8">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目前语言信息科技创新不足，语言服务水平及中文在全球数字空间使用占比和价值引领亟待提升。</w:t>
            </w:r>
          </w:p>
          <w:p w14:paraId="4E4F32F0">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研究如何利用数字化突破时空限制、资源不均等制约，利用大数据、人工智能等技术精准识别需求、匹配资源、评估效果，实现语言文字推广普及工作的精准施策和动态优化。</w:t>
            </w:r>
          </w:p>
          <w:p w14:paraId="12EBB153">
            <w:pPr>
              <w:autoSpaceDE/>
              <w:spacing w:line="0" w:lineRule="atLeast"/>
              <w:jc w:val="both"/>
              <w:rPr>
                <w:rFonts w:hint="eastAsia" w:ascii="仿宋_GB2312" w:hAnsi="仿宋_GB2312" w:eastAsia="仿宋_GB2312" w:cs="仿宋_GB2312"/>
                <w:kern w:val="2"/>
                <w:sz w:val="24"/>
                <w:szCs w:val="24"/>
                <w:lang w:eastAsia="zh-CN"/>
              </w:rPr>
            </w:pPr>
          </w:p>
        </w:tc>
        <w:tc>
          <w:tcPr>
            <w:tcW w:w="3679" w:type="dxa"/>
            <w:noWrap w:val="0"/>
            <w:vAlign w:val="center"/>
          </w:tcPr>
          <w:p w14:paraId="0F4F37F0">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数字化赋能语言文字推广的现状与需求分析：梳理现有数字化应用现状、成效、问题及不同区域、群体的数字化需求和障碍。研究如何利用数字化手段构建政府主导、多主体参与、数据驱动的协同治理框架和运行机制：探索数字中文赋能教育发展、科技创新、文化传承、产业升级、社会进步的有效机制。建设关键领域语料库，开展高质量语料有效共建和安全共享。</w:t>
            </w:r>
          </w:p>
        </w:tc>
        <w:tc>
          <w:tcPr>
            <w:tcW w:w="1399" w:type="dxa"/>
            <w:noWrap w:val="0"/>
            <w:vAlign w:val="center"/>
          </w:tcPr>
          <w:p w14:paraId="43E75A12">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020-37627910</w:t>
            </w:r>
          </w:p>
        </w:tc>
        <w:tc>
          <w:tcPr>
            <w:tcW w:w="1378" w:type="dxa"/>
            <w:vMerge w:val="continue"/>
            <w:noWrap w:val="0"/>
            <w:vAlign w:val="center"/>
          </w:tcPr>
          <w:p w14:paraId="0C08960C">
            <w:pPr>
              <w:autoSpaceDE/>
              <w:autoSpaceDN/>
              <w:spacing w:line="0" w:lineRule="atLeast"/>
              <w:jc w:val="center"/>
              <w:rPr>
                <w:rFonts w:hint="eastAsia" w:ascii="仿宋_GB2312" w:hAnsi="仿宋_GB2312" w:eastAsia="仿宋_GB2312" w:cs="仿宋_GB2312"/>
                <w:kern w:val="2"/>
                <w:sz w:val="24"/>
                <w:szCs w:val="24"/>
                <w:lang w:eastAsia="zh-CN"/>
              </w:rPr>
            </w:pPr>
          </w:p>
        </w:tc>
      </w:tr>
      <w:tr w14:paraId="70BB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0" w:type="dxa"/>
            <w:noWrap w:val="0"/>
            <w:vAlign w:val="center"/>
          </w:tcPr>
          <w:p w14:paraId="66D389C4">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w:t>
            </w:r>
          </w:p>
        </w:tc>
        <w:tc>
          <w:tcPr>
            <w:tcW w:w="2276" w:type="dxa"/>
            <w:noWrap w:val="0"/>
            <w:vAlign w:val="center"/>
          </w:tcPr>
          <w:p w14:paraId="0C9DA0ED">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学生资助推动“一站式”学生社区建设研究</w:t>
            </w:r>
          </w:p>
        </w:tc>
        <w:tc>
          <w:tcPr>
            <w:tcW w:w="4155" w:type="dxa"/>
            <w:noWrap w:val="0"/>
            <w:vAlign w:val="center"/>
          </w:tcPr>
          <w:p w14:paraId="6BD9D1F6">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促进资助育人体系与“一站式”学生社区建设深度融合，对于整合资源、集中力量进一步深化高校“三全育人”改革、提升学校资助工作水平具有重要意义。</w:t>
            </w:r>
          </w:p>
        </w:tc>
        <w:tc>
          <w:tcPr>
            <w:tcW w:w="3679" w:type="dxa"/>
            <w:noWrap w:val="0"/>
            <w:vAlign w:val="center"/>
          </w:tcPr>
          <w:p w14:paraId="19E9317D">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调研分析学生资助与“一站式”学生社区建设现状及存在的问题。探索通过学生资助推动“一站式”学生社区建设路径，助力教育公平，更好地服务教育强国建设。</w:t>
            </w:r>
          </w:p>
        </w:tc>
        <w:tc>
          <w:tcPr>
            <w:tcW w:w="1399" w:type="dxa"/>
            <w:vMerge w:val="restart"/>
            <w:noWrap w:val="0"/>
            <w:vAlign w:val="center"/>
          </w:tcPr>
          <w:p w14:paraId="395E51D3">
            <w:pPr>
              <w:autoSpaceDE/>
              <w:spacing w:line="0" w:lineRule="atLeast"/>
              <w:jc w:val="center"/>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sz w:val="24"/>
                <w:szCs w:val="24"/>
                <w:lang w:eastAsia="zh-CN"/>
              </w:rPr>
              <w:t>020-</w:t>
            </w:r>
            <w:r>
              <w:rPr>
                <w:rFonts w:hint="eastAsia" w:ascii="仿宋_GB2312" w:hAnsi="仿宋_GB2312" w:eastAsia="仿宋_GB2312" w:cs="仿宋_GB2312"/>
                <w:kern w:val="2"/>
                <w:sz w:val="24"/>
                <w:szCs w:val="24"/>
                <w:lang w:eastAsia="zh-CN" w:bidi="ar"/>
              </w:rPr>
              <w:t>37629503</w:t>
            </w:r>
          </w:p>
        </w:tc>
        <w:tc>
          <w:tcPr>
            <w:tcW w:w="1378" w:type="dxa"/>
            <w:vMerge w:val="restart"/>
            <w:noWrap w:val="0"/>
            <w:vAlign w:val="center"/>
          </w:tcPr>
          <w:p w14:paraId="00069948">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基建财务处（学生助学工作管理办公室）</w:t>
            </w:r>
          </w:p>
        </w:tc>
      </w:tr>
      <w:tr w14:paraId="74EE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30" w:type="dxa"/>
            <w:noWrap w:val="0"/>
            <w:vAlign w:val="center"/>
          </w:tcPr>
          <w:p w14:paraId="5E8889CA">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7</w:t>
            </w:r>
          </w:p>
        </w:tc>
        <w:tc>
          <w:tcPr>
            <w:tcW w:w="2276" w:type="dxa"/>
            <w:noWrap w:val="0"/>
            <w:vAlign w:val="center"/>
          </w:tcPr>
          <w:p w14:paraId="41404641">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推进发展型资助育人工作的对策研究‌</w:t>
            </w:r>
          </w:p>
        </w:tc>
        <w:tc>
          <w:tcPr>
            <w:tcW w:w="4155" w:type="dxa"/>
            <w:noWrap w:val="0"/>
            <w:vAlign w:val="center"/>
          </w:tcPr>
          <w:p w14:paraId="4F85A93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围绕学生发展为中心，采取有效措施保障家庭经济困难学生享受国家各项扶助政策，加强资助宣传，推动学生资助政策从“保障为主”向“保障和发展并重”拓展，实现资助内涵系统性跃升。</w:t>
            </w:r>
          </w:p>
        </w:tc>
        <w:tc>
          <w:tcPr>
            <w:tcW w:w="3679" w:type="dxa"/>
            <w:noWrap w:val="0"/>
            <w:vAlign w:val="center"/>
          </w:tcPr>
          <w:p w14:paraId="4C9BEBBC">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探索学生资助政策从“保障为主”向“保障和发展并重”拓展的新路径。引导学生在资助中实现价值塑造、能力培养和知识拓展。研究建强全媒体融合的资助宣传教育矩阵有效对策，全面提升资助宣传传播力、影响力。</w:t>
            </w:r>
          </w:p>
        </w:tc>
        <w:tc>
          <w:tcPr>
            <w:tcW w:w="1399" w:type="dxa"/>
            <w:vMerge w:val="continue"/>
            <w:noWrap w:val="0"/>
            <w:vAlign w:val="center"/>
          </w:tcPr>
          <w:p w14:paraId="6EA18F0A">
            <w:pPr>
              <w:autoSpaceDE/>
              <w:spacing w:line="0" w:lineRule="atLeast"/>
              <w:jc w:val="center"/>
              <w:rPr>
                <w:rFonts w:hint="eastAsia" w:ascii="仿宋_GB2312" w:hAnsi="仿宋_GB2312" w:eastAsia="仿宋_GB2312" w:cs="仿宋_GB2312"/>
                <w:kern w:val="2"/>
                <w:sz w:val="24"/>
                <w:szCs w:val="24"/>
                <w:lang w:eastAsia="zh-CN" w:bidi="ar"/>
              </w:rPr>
            </w:pPr>
          </w:p>
        </w:tc>
        <w:tc>
          <w:tcPr>
            <w:tcW w:w="1378" w:type="dxa"/>
            <w:vMerge w:val="continue"/>
            <w:noWrap w:val="0"/>
            <w:vAlign w:val="center"/>
          </w:tcPr>
          <w:p w14:paraId="056F79D1">
            <w:pPr>
              <w:autoSpaceDE/>
              <w:autoSpaceDN/>
              <w:spacing w:line="0" w:lineRule="atLeast"/>
              <w:jc w:val="center"/>
              <w:rPr>
                <w:rFonts w:hint="eastAsia" w:ascii="仿宋_GB2312" w:hAnsi="仿宋_GB2312" w:eastAsia="仿宋_GB2312" w:cs="仿宋_GB2312"/>
                <w:kern w:val="2"/>
                <w:sz w:val="24"/>
                <w:szCs w:val="24"/>
                <w:lang w:eastAsia="zh-CN"/>
              </w:rPr>
            </w:pPr>
          </w:p>
        </w:tc>
      </w:tr>
      <w:tr w14:paraId="61A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30" w:type="dxa"/>
            <w:noWrap w:val="0"/>
            <w:vAlign w:val="center"/>
          </w:tcPr>
          <w:p w14:paraId="62CDCD78">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8</w:t>
            </w:r>
          </w:p>
        </w:tc>
        <w:tc>
          <w:tcPr>
            <w:tcW w:w="2276" w:type="dxa"/>
            <w:noWrap w:val="0"/>
            <w:vAlign w:val="center"/>
          </w:tcPr>
          <w:p w14:paraId="3CED005A">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推进数字资助向智慧资助发展的探索与实践研究</w:t>
            </w:r>
          </w:p>
        </w:tc>
        <w:tc>
          <w:tcPr>
            <w:tcW w:w="4155" w:type="dxa"/>
            <w:noWrap w:val="0"/>
            <w:vAlign w:val="center"/>
          </w:tcPr>
          <w:p w14:paraId="42F7DA4A">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探索数字资助向智慧资助发展，对深度挖掘学生资助数据价值，持续赋能学生资助政策完善、规范管理、资金测算等具有重要意义。</w:t>
            </w:r>
          </w:p>
        </w:tc>
        <w:tc>
          <w:tcPr>
            <w:tcW w:w="3679" w:type="dxa"/>
            <w:noWrap w:val="0"/>
            <w:vAlign w:val="center"/>
          </w:tcPr>
          <w:p w14:paraId="7BDDB09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探索学生资助数据融合，进一步满足学生个性化资助需求，探索推动学生资助实现“集中化、流程化、智慧化、便捷化”。</w:t>
            </w:r>
          </w:p>
        </w:tc>
        <w:tc>
          <w:tcPr>
            <w:tcW w:w="1399" w:type="dxa"/>
            <w:vMerge w:val="continue"/>
            <w:noWrap w:val="0"/>
            <w:vAlign w:val="center"/>
          </w:tcPr>
          <w:p w14:paraId="17C4D904">
            <w:pPr>
              <w:autoSpaceDE/>
              <w:spacing w:line="0" w:lineRule="atLeast"/>
              <w:jc w:val="center"/>
              <w:rPr>
                <w:rFonts w:hint="eastAsia" w:ascii="仿宋_GB2312" w:hAnsi="仿宋_GB2312" w:eastAsia="仿宋_GB2312" w:cs="仿宋_GB2312"/>
                <w:kern w:val="2"/>
                <w:sz w:val="24"/>
                <w:szCs w:val="24"/>
                <w:lang w:eastAsia="zh-CN" w:bidi="ar"/>
              </w:rPr>
            </w:pPr>
          </w:p>
        </w:tc>
        <w:tc>
          <w:tcPr>
            <w:tcW w:w="1378" w:type="dxa"/>
            <w:vMerge w:val="continue"/>
            <w:noWrap w:val="0"/>
            <w:vAlign w:val="center"/>
          </w:tcPr>
          <w:p w14:paraId="7C23EB4B">
            <w:pPr>
              <w:autoSpaceDE/>
              <w:autoSpaceDN/>
              <w:spacing w:line="0" w:lineRule="atLeast"/>
              <w:jc w:val="center"/>
              <w:rPr>
                <w:rFonts w:hint="eastAsia" w:ascii="仿宋_GB2312" w:hAnsi="仿宋_GB2312" w:eastAsia="仿宋_GB2312" w:cs="仿宋_GB2312"/>
                <w:kern w:val="2"/>
                <w:sz w:val="24"/>
                <w:szCs w:val="24"/>
                <w:lang w:eastAsia="zh-CN"/>
              </w:rPr>
            </w:pPr>
          </w:p>
        </w:tc>
      </w:tr>
      <w:tr w14:paraId="33B0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BA8ABB5">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9</w:t>
            </w:r>
          </w:p>
        </w:tc>
        <w:tc>
          <w:tcPr>
            <w:tcW w:w="2276" w:type="dxa"/>
            <w:noWrap w:val="0"/>
            <w:vAlign w:val="center"/>
          </w:tcPr>
          <w:p w14:paraId="35B7E2E3">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“十四五”期间广东省教育经费统计分析及教育财政可持续发展评价</w:t>
            </w:r>
          </w:p>
        </w:tc>
        <w:tc>
          <w:tcPr>
            <w:tcW w:w="4155" w:type="dxa"/>
            <w:noWrap w:val="0"/>
            <w:vAlign w:val="center"/>
          </w:tcPr>
          <w:p w14:paraId="210EFE7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本研究通过系统分析“十四五”期间广东省教育经费投入规模、结构及区域差异情况，并科学评价其财政可持续性，旨在为优化教育资源配置、提升经费使用效率提供决策依据和政策建议，对促进广东教育高质量发展具有重要现实意义。</w:t>
            </w:r>
          </w:p>
        </w:tc>
        <w:tc>
          <w:tcPr>
            <w:tcW w:w="3679" w:type="dxa"/>
            <w:noWrap w:val="0"/>
            <w:vAlign w:val="center"/>
          </w:tcPr>
          <w:p w14:paraId="758EC3EE">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基于省、市的不同纬度分析“十四五”期间广东省教育经费投入情况；</w:t>
            </w:r>
          </w:p>
          <w:p w14:paraId="11BFDF03">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构建教育财政可持续发展水平评价指标，测算“十四五”期间广东省教育财政可持续发展水平及其变化趋势；</w:t>
            </w:r>
          </w:p>
          <w:p w14:paraId="6147EC4D">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基于量化分析结果，提出优化广东省教育经费保障机制和提升教育财政可持续发展能力的政策建议。</w:t>
            </w:r>
          </w:p>
        </w:tc>
        <w:tc>
          <w:tcPr>
            <w:tcW w:w="1399" w:type="dxa"/>
            <w:noWrap w:val="0"/>
            <w:vAlign w:val="center"/>
          </w:tcPr>
          <w:p w14:paraId="55F5CE9C">
            <w:pPr>
              <w:autoSpaceDE/>
              <w:spacing w:line="0" w:lineRule="atLeast"/>
              <w:jc w:val="center"/>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sz w:val="24"/>
                <w:szCs w:val="24"/>
                <w:lang w:eastAsia="zh-CN"/>
              </w:rPr>
              <w:t>020-</w:t>
            </w:r>
            <w:r>
              <w:rPr>
                <w:rFonts w:hint="eastAsia" w:ascii="仿宋_GB2312" w:hAnsi="仿宋_GB2312" w:eastAsia="仿宋_GB2312" w:cs="仿宋_GB2312"/>
                <w:kern w:val="2"/>
                <w:sz w:val="24"/>
                <w:szCs w:val="24"/>
                <w:lang w:eastAsia="zh-CN" w:bidi="ar"/>
              </w:rPr>
              <w:t>87774855</w:t>
            </w:r>
          </w:p>
        </w:tc>
        <w:tc>
          <w:tcPr>
            <w:tcW w:w="1378" w:type="dxa"/>
            <w:vMerge w:val="continue"/>
            <w:noWrap w:val="0"/>
            <w:vAlign w:val="center"/>
          </w:tcPr>
          <w:p w14:paraId="7853D58B">
            <w:pPr>
              <w:autoSpaceDE/>
              <w:autoSpaceDN/>
              <w:spacing w:line="0" w:lineRule="atLeast"/>
              <w:jc w:val="center"/>
              <w:rPr>
                <w:rFonts w:hint="eastAsia" w:ascii="仿宋_GB2312" w:hAnsi="仿宋_GB2312" w:eastAsia="仿宋_GB2312" w:cs="仿宋_GB2312"/>
                <w:kern w:val="2"/>
                <w:sz w:val="24"/>
                <w:szCs w:val="24"/>
                <w:lang w:eastAsia="zh-CN"/>
              </w:rPr>
            </w:pPr>
          </w:p>
        </w:tc>
      </w:tr>
      <w:tr w14:paraId="3EAE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0" w:type="dxa"/>
            <w:noWrap w:val="0"/>
            <w:vAlign w:val="center"/>
          </w:tcPr>
          <w:p w14:paraId="7822FE05">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10</w:t>
            </w:r>
          </w:p>
        </w:tc>
        <w:tc>
          <w:tcPr>
            <w:tcW w:w="2276" w:type="dxa"/>
            <w:noWrap w:val="0"/>
            <w:vAlign w:val="center"/>
          </w:tcPr>
          <w:p w14:paraId="4453876D">
            <w:pPr>
              <w:autoSpaceDE/>
              <w:spacing w:line="0" w:lineRule="atLeast"/>
              <w:jc w:val="both"/>
              <w:rPr>
                <w:rFonts w:hint="eastAsia" w:ascii="仿宋_GB2312" w:hAnsi="仿宋_GB2312" w:eastAsia="仿宋_GB2312" w:cs="仿宋_GB2312"/>
                <w:kern w:val="2"/>
                <w:sz w:val="24"/>
                <w:szCs w:val="24"/>
                <w:lang w:eastAsia="zh-CN" w:bidi="ar"/>
              </w:rPr>
            </w:pPr>
          </w:p>
          <w:p w14:paraId="47AF6542">
            <w:pPr>
              <w:autoSpaceDE/>
              <w:spacing w:line="0" w:lineRule="atLeast"/>
              <w:jc w:val="both"/>
              <w:rPr>
                <w:rFonts w:hint="eastAsia" w:ascii="仿宋_GB2312" w:hAnsi="仿宋_GB2312" w:eastAsia="仿宋_GB2312" w:cs="仿宋_GB2312"/>
                <w:kern w:val="2"/>
                <w:sz w:val="24"/>
                <w:szCs w:val="24"/>
                <w:lang w:eastAsia="zh-CN" w:bidi="ar"/>
              </w:rPr>
            </w:pPr>
          </w:p>
          <w:p w14:paraId="5513DE65">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广东省科学教育特色高中建设研究</w:t>
            </w:r>
          </w:p>
        </w:tc>
        <w:tc>
          <w:tcPr>
            <w:tcW w:w="4155" w:type="dxa"/>
            <w:noWrap w:val="0"/>
            <w:vAlign w:val="center"/>
          </w:tcPr>
          <w:p w14:paraId="46641756">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高中阶段教育在教育体系中起着承上启下的重要作用。党的二十大报告提出的“坚持高中阶段学校多样化发展”。中共中央、国务院印发的《教育强国建设规划纲要（2024—2035年）》提到，“要促进高中阶段学校多样化发展”“探索设立一批以科学教育为特色的普通高中”。推动普通高中多样化有特色发展，是我省创新人才培养模式、深化高中育人关键环节和重点领域改革、破解普通高中“同质化”发展难题、促进高中办学质量提升的重要举措与抓手。</w:t>
            </w:r>
          </w:p>
        </w:tc>
        <w:tc>
          <w:tcPr>
            <w:tcW w:w="3679" w:type="dxa"/>
            <w:noWrap w:val="0"/>
            <w:vAlign w:val="center"/>
          </w:tcPr>
          <w:p w14:paraId="770CF8F1">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1.科学教育特色高中建设的国内外比较；</w:t>
            </w:r>
          </w:p>
          <w:p w14:paraId="5858396E">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2.科学教育特色高中目标与定位；</w:t>
            </w:r>
          </w:p>
          <w:p w14:paraId="01343758">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3.科学教育特色高中课程框架体系及课程群建设；</w:t>
            </w:r>
          </w:p>
          <w:p w14:paraId="09379F0E">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4.AI赋能的科学教育特色高中育人方式与教学方式变革；</w:t>
            </w:r>
          </w:p>
          <w:p w14:paraId="225AA1A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5.科学教育特色高中师资队伍建设，机制与保障，评价框架及指标体系。</w:t>
            </w:r>
          </w:p>
        </w:tc>
        <w:tc>
          <w:tcPr>
            <w:tcW w:w="1399" w:type="dxa"/>
            <w:vMerge w:val="restart"/>
            <w:noWrap w:val="0"/>
            <w:vAlign w:val="center"/>
          </w:tcPr>
          <w:p w14:paraId="678FABCC">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020-37627010</w:t>
            </w:r>
          </w:p>
        </w:tc>
        <w:tc>
          <w:tcPr>
            <w:tcW w:w="1378" w:type="dxa"/>
            <w:vMerge w:val="restart"/>
            <w:noWrap w:val="0"/>
            <w:vAlign w:val="center"/>
          </w:tcPr>
          <w:p w14:paraId="14CCDFD2">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基础教育与信息化处（教材管理办公室）</w:t>
            </w:r>
          </w:p>
        </w:tc>
      </w:tr>
      <w:tr w14:paraId="2168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30" w:type="dxa"/>
            <w:noWrap w:val="0"/>
            <w:vAlign w:val="center"/>
          </w:tcPr>
          <w:p w14:paraId="3C0D196E">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11</w:t>
            </w:r>
          </w:p>
        </w:tc>
        <w:tc>
          <w:tcPr>
            <w:tcW w:w="2276" w:type="dxa"/>
            <w:noWrap w:val="0"/>
            <w:vAlign w:val="center"/>
          </w:tcPr>
          <w:p w14:paraId="50980246">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指向科技创新人才培育的广东省中小学STEM教育研究</w:t>
            </w:r>
          </w:p>
        </w:tc>
        <w:tc>
          <w:tcPr>
            <w:tcW w:w="4155" w:type="dxa"/>
            <w:noWrap w:val="0"/>
            <w:vAlign w:val="center"/>
          </w:tcPr>
          <w:p w14:paraId="130EE35B">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教育、科技、人才三位一体协同发展是推动国家科创资源整合、未来产业发展、加快形成新质生产力的关键。STEM 教育是三位一体的重要平台和抓手。STEM教育将培养科技创新人才作为主要目标，是强国建设和人才战略推进的重要支撑。加强STEM教育也是促进新质生产力发展的关键举措。STEM 教育由于强调科学、技术、工程和数学的综合应用，能够培养学生的跨学科思维和综合解决问题的能力，成为发展新质生产力的应然之举。</w:t>
            </w:r>
          </w:p>
        </w:tc>
        <w:tc>
          <w:tcPr>
            <w:tcW w:w="3679" w:type="dxa"/>
            <w:noWrap w:val="0"/>
            <w:vAlign w:val="center"/>
          </w:tcPr>
          <w:p w14:paraId="0D37C3E6">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1.广东特色STEM教育课程体系；</w:t>
            </w:r>
          </w:p>
          <w:p w14:paraId="7004A670">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2.STEM人才贯通培养、协同育人机制；</w:t>
            </w:r>
          </w:p>
          <w:p w14:paraId="703370DF">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3.STEM跨学科课程资源开发；</w:t>
            </w:r>
          </w:p>
          <w:p w14:paraId="5E1E37EB">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4.STEM空间建设；</w:t>
            </w:r>
          </w:p>
          <w:p w14:paraId="51964885">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5.AI赋能STEM课程开发、实施与评价；</w:t>
            </w:r>
          </w:p>
          <w:p w14:paraId="56F36AED">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6.建立STEM 教育师资队伍建设；</w:t>
            </w:r>
          </w:p>
          <w:p w14:paraId="75C6C96C">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7.中小学STEM 教育评价框架及指标体系。</w:t>
            </w:r>
          </w:p>
        </w:tc>
        <w:tc>
          <w:tcPr>
            <w:tcW w:w="1399" w:type="dxa"/>
            <w:vMerge w:val="continue"/>
            <w:noWrap w:val="0"/>
            <w:vAlign w:val="center"/>
          </w:tcPr>
          <w:p w14:paraId="2B1DD391">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6EF90118">
            <w:pPr>
              <w:autoSpaceDE/>
              <w:autoSpaceDN/>
              <w:spacing w:line="0" w:lineRule="atLeast"/>
              <w:jc w:val="center"/>
              <w:rPr>
                <w:rFonts w:hint="eastAsia" w:ascii="仿宋_GB2312" w:hAnsi="仿宋_GB2312" w:eastAsia="仿宋_GB2312" w:cs="仿宋_GB2312"/>
                <w:kern w:val="2"/>
                <w:sz w:val="24"/>
                <w:szCs w:val="24"/>
                <w:lang w:eastAsia="zh-CN"/>
              </w:rPr>
            </w:pPr>
          </w:p>
        </w:tc>
      </w:tr>
      <w:tr w14:paraId="2DC2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30" w:type="dxa"/>
            <w:noWrap w:val="0"/>
            <w:vAlign w:val="center"/>
          </w:tcPr>
          <w:p w14:paraId="0A8D5C49">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12</w:t>
            </w:r>
          </w:p>
        </w:tc>
        <w:tc>
          <w:tcPr>
            <w:tcW w:w="2276" w:type="dxa"/>
            <w:noWrap w:val="0"/>
            <w:vAlign w:val="center"/>
          </w:tcPr>
          <w:p w14:paraId="43A16768">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snapToGrid/>
                <w:color w:val="000000"/>
                <w:kern w:val="2"/>
                <w:sz w:val="24"/>
                <w:szCs w:val="24"/>
                <w:lang w:eastAsia="zh-CN" w:bidi="ar"/>
              </w:rPr>
              <w:t>广东省综合高中建设研究</w:t>
            </w:r>
          </w:p>
        </w:tc>
        <w:tc>
          <w:tcPr>
            <w:tcW w:w="4155" w:type="dxa"/>
            <w:noWrap w:val="0"/>
            <w:vAlign w:val="center"/>
          </w:tcPr>
          <w:p w14:paraId="4447167B">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中共中央、国务院印发的《教育强国建设规划纲要（2024—2035年）》提出要办好综合高中。办好综合高中对于优化我国高中教育体系和夯实人力资源基础具有重要意义。综合高中是实现高中阶段职普教育融通的重要载体，办好综合高中是优化高中阶段教育结构、增强教育多样性和选择性支撑高质量教育体系的重要举措。综合高中对于促进学生个性化成长和发展，尊重学生个体差异，提供多样化、可选择的适切教育，铺设人人成才、人人出彩的多元化成长赛道也具有重要意义。</w:t>
            </w:r>
          </w:p>
        </w:tc>
        <w:tc>
          <w:tcPr>
            <w:tcW w:w="3679" w:type="dxa"/>
            <w:noWrap w:val="0"/>
            <w:vAlign w:val="center"/>
          </w:tcPr>
          <w:p w14:paraId="21F857F3">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1.综合高中建设的国内外比较研究；</w:t>
            </w:r>
          </w:p>
          <w:p w14:paraId="1218D4B9">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2.我省综合高中办学的现状调查分析；</w:t>
            </w:r>
          </w:p>
          <w:p w14:paraId="1769B0E0">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3.综合高中多样化和宽口径的课程体系研究；</w:t>
            </w:r>
          </w:p>
          <w:p w14:paraId="1B88FA3C">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4.综合学分认定与学籍管理；</w:t>
            </w:r>
          </w:p>
          <w:p w14:paraId="009B4B2B">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5.综合高中办学标准；</w:t>
            </w:r>
          </w:p>
          <w:p w14:paraId="2738670B">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6.综合高中评价机制。</w:t>
            </w:r>
          </w:p>
        </w:tc>
        <w:tc>
          <w:tcPr>
            <w:tcW w:w="1399" w:type="dxa"/>
            <w:vMerge w:val="continue"/>
            <w:noWrap w:val="0"/>
            <w:vAlign w:val="center"/>
          </w:tcPr>
          <w:p w14:paraId="473B5C92">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4707A673">
            <w:pPr>
              <w:autoSpaceDE/>
              <w:autoSpaceDN/>
              <w:spacing w:line="0" w:lineRule="atLeast"/>
              <w:jc w:val="center"/>
              <w:rPr>
                <w:rFonts w:hint="eastAsia" w:ascii="仿宋_GB2312" w:hAnsi="仿宋_GB2312" w:eastAsia="仿宋_GB2312" w:cs="仿宋_GB2312"/>
                <w:kern w:val="2"/>
                <w:sz w:val="24"/>
                <w:szCs w:val="24"/>
                <w:lang w:eastAsia="zh-CN"/>
              </w:rPr>
            </w:pPr>
          </w:p>
        </w:tc>
      </w:tr>
      <w:tr w14:paraId="1243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9F53B17">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13</w:t>
            </w:r>
          </w:p>
        </w:tc>
        <w:tc>
          <w:tcPr>
            <w:tcW w:w="2276" w:type="dxa"/>
            <w:noWrap w:val="0"/>
            <w:vAlign w:val="center"/>
          </w:tcPr>
          <w:p w14:paraId="506D8249">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建立适应人口变化的基础教育资源调配机制研究</w:t>
            </w:r>
          </w:p>
        </w:tc>
        <w:tc>
          <w:tcPr>
            <w:tcW w:w="4155" w:type="dxa"/>
            <w:noWrap w:val="0"/>
            <w:vAlign w:val="center"/>
          </w:tcPr>
          <w:p w14:paraId="7F9C24D7">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学龄人口峰谷变化和城乡流动趋势，对因地制宜优化教育资源配置、提高人才培养质量提出了新要求。急需建立适应人口变化的基础教育资源调配机制，分析研究基础教育学龄人口变化情况，合理规划布局中小学、幼儿园，有效利用教育资源，提高教育公共服务水平。</w:t>
            </w:r>
          </w:p>
          <w:p w14:paraId="487D2454">
            <w:pPr>
              <w:autoSpaceDE/>
              <w:autoSpaceDN/>
              <w:spacing w:line="0" w:lineRule="atLeast"/>
              <w:jc w:val="both"/>
              <w:rPr>
                <w:rFonts w:hint="eastAsia" w:ascii="仿宋_GB2312" w:hAnsi="仿宋_GB2312" w:eastAsia="仿宋_GB2312" w:cs="仿宋_GB2312"/>
                <w:kern w:val="2"/>
                <w:sz w:val="24"/>
                <w:szCs w:val="24"/>
                <w:lang w:eastAsia="zh-CN" w:bidi="ar"/>
              </w:rPr>
            </w:pPr>
          </w:p>
        </w:tc>
        <w:tc>
          <w:tcPr>
            <w:tcW w:w="3679" w:type="dxa"/>
            <w:noWrap w:val="0"/>
            <w:vAlign w:val="center"/>
          </w:tcPr>
          <w:p w14:paraId="634B3851">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1.结合历史数据，分析研究经济社会发展、生育政策等因素叠加对基础教育学龄人口变化的影响；</w:t>
            </w:r>
          </w:p>
          <w:p w14:paraId="6E3F9C0E">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2.预测当前到2035年各地学前教</w:t>
            </w:r>
            <w:r>
              <w:rPr>
                <w:rFonts w:hint="eastAsia" w:ascii="仿宋_GB2312" w:hAnsi="仿宋_GB2312" w:eastAsia="仿宋_GB2312" w:cs="仿宋_GB2312"/>
                <w:kern w:val="2"/>
                <w:sz w:val="24"/>
                <w:szCs w:val="24"/>
                <w:lang w:val="en-US" w:eastAsia="zh-CN" w:bidi="ar"/>
              </w:rPr>
              <w:t>育至</w:t>
            </w:r>
            <w:r>
              <w:rPr>
                <w:rFonts w:hint="eastAsia" w:ascii="仿宋_GB2312" w:hAnsi="仿宋_GB2312" w:eastAsia="仿宋_GB2312" w:cs="仿宋_GB2312"/>
                <w:kern w:val="2"/>
                <w:sz w:val="24"/>
                <w:szCs w:val="24"/>
                <w:lang w:eastAsia="zh-CN" w:bidi="ar"/>
              </w:rPr>
              <w:t>普通高中教育学龄人口，结合学位资源建立监测预警制度；</w:t>
            </w:r>
          </w:p>
          <w:p w14:paraId="241FA949">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3.怎样合理有效利用</w:t>
            </w:r>
            <w:r>
              <w:rPr>
                <w:rFonts w:hint="eastAsia" w:ascii="仿宋_GB2312" w:hAnsi="仿宋_GB2312" w:eastAsia="仿宋_GB2312" w:cs="仿宋_GB2312"/>
                <w:kern w:val="2"/>
                <w:sz w:val="24"/>
                <w:szCs w:val="24"/>
                <w:lang w:val="en-US" w:eastAsia="zh-CN" w:bidi="ar"/>
              </w:rPr>
              <w:t>教育学位</w:t>
            </w:r>
            <w:r>
              <w:rPr>
                <w:rFonts w:hint="eastAsia" w:ascii="仿宋_GB2312" w:hAnsi="仿宋_GB2312" w:eastAsia="仿宋_GB2312" w:cs="仿宋_GB2312"/>
                <w:kern w:val="2"/>
                <w:sz w:val="24"/>
                <w:szCs w:val="24"/>
                <w:lang w:eastAsia="zh-CN" w:bidi="ar"/>
              </w:rPr>
              <w:t>资源，满足学龄人口增长地区供给需求，应对学龄人口减少地区空置情况，提升农村薄弱学校建设水平；</w:t>
            </w:r>
          </w:p>
          <w:p w14:paraId="38DDFF99">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4.研究与学龄人口变化相适应的教师队伍调配机制。</w:t>
            </w:r>
          </w:p>
          <w:p w14:paraId="2148548A">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5.结合义务教育优质均衡发展</w:t>
            </w:r>
            <w:r>
              <w:rPr>
                <w:rFonts w:hint="eastAsia" w:ascii="仿宋_GB2312" w:hAnsi="仿宋_GB2312" w:eastAsia="仿宋_GB2312" w:cs="仿宋_GB2312"/>
                <w:kern w:val="2"/>
                <w:sz w:val="24"/>
                <w:szCs w:val="24"/>
                <w:lang w:val="en-US" w:eastAsia="zh-CN" w:bidi="ar"/>
              </w:rPr>
              <w:t>等教育政策</w:t>
            </w:r>
            <w:r>
              <w:rPr>
                <w:rFonts w:hint="eastAsia" w:ascii="仿宋_GB2312" w:hAnsi="仿宋_GB2312" w:eastAsia="仿宋_GB2312" w:cs="仿宋_GB2312"/>
                <w:kern w:val="2"/>
                <w:sz w:val="24"/>
                <w:szCs w:val="24"/>
                <w:lang w:eastAsia="zh-CN" w:bidi="ar"/>
              </w:rPr>
              <w:t>，研究建立基础教育资源共建共享机制，提高共服务水平。</w:t>
            </w:r>
          </w:p>
        </w:tc>
        <w:tc>
          <w:tcPr>
            <w:tcW w:w="1399" w:type="dxa"/>
            <w:noWrap w:val="0"/>
            <w:vAlign w:val="center"/>
          </w:tcPr>
          <w:p w14:paraId="6B71BDBB">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020-37626076</w:t>
            </w:r>
          </w:p>
        </w:tc>
        <w:tc>
          <w:tcPr>
            <w:tcW w:w="1378" w:type="dxa"/>
            <w:vMerge w:val="continue"/>
            <w:noWrap w:val="0"/>
            <w:vAlign w:val="center"/>
          </w:tcPr>
          <w:p w14:paraId="7EECF39F">
            <w:pPr>
              <w:autoSpaceDE/>
              <w:autoSpaceDN/>
              <w:spacing w:line="0" w:lineRule="atLeast"/>
              <w:jc w:val="center"/>
              <w:rPr>
                <w:rFonts w:hint="eastAsia" w:ascii="仿宋_GB2312" w:hAnsi="仿宋_GB2312" w:eastAsia="仿宋_GB2312" w:cs="仿宋_GB2312"/>
                <w:kern w:val="2"/>
                <w:sz w:val="24"/>
                <w:szCs w:val="24"/>
                <w:lang w:eastAsia="zh-CN"/>
              </w:rPr>
            </w:pPr>
          </w:p>
        </w:tc>
      </w:tr>
      <w:tr w14:paraId="0E66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625D781">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4</w:t>
            </w:r>
          </w:p>
        </w:tc>
        <w:tc>
          <w:tcPr>
            <w:tcW w:w="2276" w:type="dxa"/>
            <w:noWrap w:val="0"/>
            <w:vAlign w:val="center"/>
          </w:tcPr>
          <w:p w14:paraId="3F89567B">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卓越工程师培养新机制和新模式研究</w:t>
            </w:r>
          </w:p>
        </w:tc>
        <w:tc>
          <w:tcPr>
            <w:tcW w:w="4155" w:type="dxa"/>
            <w:noWrap w:val="0"/>
            <w:vAlign w:val="center"/>
          </w:tcPr>
          <w:p w14:paraId="1F80A6CB">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卓越工程师是国家战略人才力量的重要组成部分。加快培养卓越工程师，对支撑发展新质生产力、强化高等教育龙头作用具有深远的意义。近几年，我省卓越工程师培养步伐加快，相继获批2家国家卓越工程师创新研究院和国家卓越工程师学院，立足新时代新征程，进一步探索与现代产业发展相适应的卓越工程师培养模式，加快建设规模宏大的卓越工程师队伍的重要性和紧迫性愈发凸显。</w:t>
            </w:r>
          </w:p>
        </w:tc>
        <w:tc>
          <w:tcPr>
            <w:tcW w:w="3679" w:type="dxa"/>
            <w:noWrap w:val="0"/>
            <w:vAlign w:val="center"/>
          </w:tcPr>
          <w:p w14:paraId="1C9CA0EC">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进一步探索卓越工程师培养的新机制、新模式，指导推动国家卓越工程师创新研究院和国家卓越工程师学院加快建设，不断深化校企协同、产教融合，促进工程与教育的深度融合，通过强化融合育人、打造一流平台、健全认证标准等，构建具有中国特色的卓越工程师自主培养体系，同时分析目前我省卓越工程师培养丞需解决的问题，制定一些有针对性和可行性的政策建议。</w:t>
            </w:r>
          </w:p>
        </w:tc>
        <w:tc>
          <w:tcPr>
            <w:tcW w:w="1399" w:type="dxa"/>
            <w:noWrap w:val="0"/>
            <w:vAlign w:val="center"/>
          </w:tcPr>
          <w:p w14:paraId="3D3F80EF">
            <w:pPr>
              <w:widowControl/>
              <w:autoSpaceDE/>
              <w:autoSpaceDN/>
              <w:spacing w:line="0" w:lineRule="atLeast"/>
              <w:jc w:val="center"/>
              <w:textAlignment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020-37627887</w:t>
            </w:r>
          </w:p>
        </w:tc>
        <w:tc>
          <w:tcPr>
            <w:tcW w:w="1378" w:type="dxa"/>
            <w:vMerge w:val="restart"/>
            <w:noWrap w:val="0"/>
            <w:vAlign w:val="center"/>
          </w:tcPr>
          <w:p w14:paraId="7492D48D">
            <w:pPr>
              <w:widowControl/>
              <w:autoSpaceDE/>
              <w:autoSpaceDN/>
              <w:spacing w:line="0" w:lineRule="atLeast"/>
              <w:jc w:val="center"/>
              <w:textAlignment w:val="center"/>
              <w:rPr>
                <w:rFonts w:hint="eastAsia" w:ascii="仿宋_GB2312" w:hAnsi="仿宋_GB2312" w:eastAsia="仿宋_GB2312" w:cs="仿宋_GB2312"/>
                <w:sz w:val="24"/>
                <w:szCs w:val="24"/>
                <w:lang w:eastAsia="zh-CN"/>
              </w:rPr>
            </w:pPr>
          </w:p>
          <w:p w14:paraId="01D8AB81">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研究生教育处（省学位办)</w:t>
            </w:r>
          </w:p>
        </w:tc>
      </w:tr>
      <w:tr w14:paraId="54F6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B44D345">
            <w:pPr>
              <w:widowControl/>
              <w:numPr>
                <w:ilvl w:val="0"/>
                <w:numId w:val="0"/>
              </w:numPr>
              <w:autoSpaceDE/>
              <w:autoSpaceDN/>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5</w:t>
            </w:r>
          </w:p>
        </w:tc>
        <w:tc>
          <w:tcPr>
            <w:tcW w:w="2276" w:type="dxa"/>
            <w:noWrap w:val="0"/>
            <w:vAlign w:val="center"/>
          </w:tcPr>
          <w:p w14:paraId="4FCCC2DF">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学科专业设置调整优化机制改革研究</w:t>
            </w:r>
          </w:p>
        </w:tc>
        <w:tc>
          <w:tcPr>
            <w:tcW w:w="4155" w:type="dxa"/>
            <w:noWrap w:val="0"/>
            <w:vAlign w:val="center"/>
          </w:tcPr>
          <w:p w14:paraId="7953EC63">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学科专业设置调整优化是服务国家战略需求的重要抓手，是抢占科技制高点的关键之举，是破解人才供需结构性矛盾的有效途径。通过研究，进一步探索建立健全科学规范、运行高效、动态调整的高校学科专业设置调整优化长效机制，推动学科专业布局与经济社会发展需求紧密对接、同频共振。</w:t>
            </w:r>
          </w:p>
          <w:p w14:paraId="6E66BDEB">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p>
        </w:tc>
        <w:tc>
          <w:tcPr>
            <w:tcW w:w="3679" w:type="dxa"/>
            <w:noWrap w:val="0"/>
            <w:vAlign w:val="center"/>
          </w:tcPr>
          <w:p w14:paraId="4516034E">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1.</w:t>
            </w:r>
            <w:r>
              <w:rPr>
                <w:rFonts w:hint="eastAsia" w:ascii="仿宋_GB2312" w:hAnsi="仿宋_GB2312" w:eastAsia="仿宋_GB2312" w:cs="仿宋_GB2312"/>
                <w:color w:val="000000"/>
                <w:sz w:val="24"/>
                <w:szCs w:val="24"/>
                <w:lang w:eastAsia="zh-CN" w:bidi="ar"/>
              </w:rPr>
              <w:t>建立人才需求科学识别机制，汇聚、运用本区域相关数据资源，明确急需紧缺领域人才需求的规模、类型和层次。</w:t>
            </w:r>
          </w:p>
          <w:p w14:paraId="14B8FDF0">
            <w:pPr>
              <w:widowControl/>
              <w:numPr>
                <w:ilvl w:val="0"/>
                <w:numId w:val="1"/>
              </w:numPr>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建立人才需求口径和人才培养口径的转化机制，对确定的需求规模、规格和类型层次进行精准转换，明确不同类型人才需求情况以及对应的学科专业。</w:t>
            </w:r>
          </w:p>
          <w:p w14:paraId="11B46CD4">
            <w:pPr>
              <w:widowControl/>
              <w:numPr>
                <w:ilvl w:val="0"/>
                <w:numId w:val="0"/>
              </w:numPr>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3.</w:t>
            </w:r>
            <w:r>
              <w:rPr>
                <w:rFonts w:hint="eastAsia" w:ascii="仿宋_GB2312" w:hAnsi="仿宋_GB2312" w:eastAsia="仿宋_GB2312" w:cs="仿宋_GB2312"/>
                <w:color w:val="000000"/>
                <w:sz w:val="24"/>
                <w:szCs w:val="24"/>
                <w:lang w:eastAsia="zh-CN" w:bidi="ar"/>
              </w:rPr>
              <w:t>探索应用类学科专业市场导向调整机制，推动应用类学科专业紧盯行业产业，统筹服务当下和未来的人才需求。</w:t>
            </w:r>
          </w:p>
          <w:p w14:paraId="268D9D62">
            <w:pPr>
              <w:widowControl/>
              <w:numPr>
                <w:ilvl w:val="0"/>
                <w:numId w:val="0"/>
              </w:numPr>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4.</w:t>
            </w:r>
            <w:r>
              <w:rPr>
                <w:rFonts w:hint="eastAsia" w:ascii="仿宋_GB2312" w:hAnsi="仿宋_GB2312" w:eastAsia="仿宋_GB2312" w:cs="仿宋_GB2312"/>
                <w:color w:val="000000"/>
                <w:sz w:val="24"/>
                <w:szCs w:val="24"/>
                <w:lang w:eastAsia="zh-CN" w:bidi="ar"/>
              </w:rPr>
              <w:t>开展研究生、本科、高职学科专业与区域发展匹配度分析。</w:t>
            </w:r>
          </w:p>
        </w:tc>
        <w:tc>
          <w:tcPr>
            <w:tcW w:w="1399" w:type="dxa"/>
            <w:noWrap w:val="0"/>
            <w:vAlign w:val="center"/>
          </w:tcPr>
          <w:p w14:paraId="2D8BD614">
            <w:pPr>
              <w:widowControl/>
              <w:autoSpaceDE/>
              <w:autoSpaceDN/>
              <w:spacing w:line="0" w:lineRule="atLeast"/>
              <w:jc w:val="center"/>
              <w:textAlignment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020-37627887</w:t>
            </w:r>
          </w:p>
        </w:tc>
        <w:tc>
          <w:tcPr>
            <w:tcW w:w="1378" w:type="dxa"/>
            <w:vMerge w:val="continue"/>
            <w:noWrap w:val="0"/>
            <w:vAlign w:val="center"/>
          </w:tcPr>
          <w:p w14:paraId="7E52F30A">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p>
        </w:tc>
      </w:tr>
      <w:tr w14:paraId="4DB8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9CB6CB7">
            <w:pPr>
              <w:widowControl/>
              <w:numPr>
                <w:ilvl w:val="0"/>
                <w:numId w:val="0"/>
              </w:numPr>
              <w:autoSpaceDE/>
              <w:autoSpaceDN/>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6</w:t>
            </w:r>
          </w:p>
        </w:tc>
        <w:tc>
          <w:tcPr>
            <w:tcW w:w="2276" w:type="dxa"/>
            <w:noWrap w:val="0"/>
            <w:vAlign w:val="center"/>
          </w:tcPr>
          <w:p w14:paraId="7EFA31F8">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高等教育科研平台和项目管理机制研究</w:t>
            </w:r>
          </w:p>
        </w:tc>
        <w:tc>
          <w:tcPr>
            <w:tcW w:w="4155" w:type="dxa"/>
            <w:noWrap w:val="0"/>
            <w:vAlign w:val="center"/>
          </w:tcPr>
          <w:p w14:paraId="10B589C7">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高等教育科研平台和项目管理，对推进高校科技创新具有重要意义。通过研究破解管理痛点、优化资源配置、激发创新活力、强化绩效导向，形成更科学、规范、高效的科研管理文件。</w:t>
            </w:r>
          </w:p>
        </w:tc>
        <w:tc>
          <w:tcPr>
            <w:tcW w:w="3679" w:type="dxa"/>
            <w:noWrap w:val="0"/>
            <w:vAlign w:val="center"/>
          </w:tcPr>
          <w:p w14:paraId="470D44F4">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对标国家和省最新科技政策与“放管服”要求，设计分类分层、权责清晰的科技平台与项目管理体系。完善项目申报、评审、过程监管、验收评价全流程规范。探索应急项目等重点攻关组织模式，强化绩效导向与成果转化激励。完善信息化管理平台，健全风险防控、诚信监督与责任追溯机制，确保资源规范高效使用。</w:t>
            </w:r>
          </w:p>
        </w:tc>
        <w:tc>
          <w:tcPr>
            <w:tcW w:w="1399" w:type="dxa"/>
            <w:noWrap w:val="0"/>
            <w:vAlign w:val="center"/>
          </w:tcPr>
          <w:p w14:paraId="6E312CA2">
            <w:pPr>
              <w:widowControl/>
              <w:autoSpaceDE/>
              <w:autoSpaceDN/>
              <w:spacing w:line="0" w:lineRule="atLeast"/>
              <w:jc w:val="center"/>
              <w:textAlignment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eastAsia="zh-CN" w:bidi="ar"/>
              </w:rPr>
              <w:t>020-3762</w:t>
            </w:r>
            <w:r>
              <w:rPr>
                <w:rFonts w:hint="eastAsia" w:ascii="仿宋_GB2312" w:hAnsi="仿宋_GB2312" w:eastAsia="仿宋_GB2312" w:cs="仿宋_GB2312"/>
                <w:color w:val="000000"/>
                <w:sz w:val="24"/>
                <w:szCs w:val="24"/>
                <w:lang w:val="en-US" w:eastAsia="zh-CN" w:bidi="ar"/>
              </w:rPr>
              <w:t>7742</w:t>
            </w:r>
          </w:p>
        </w:tc>
        <w:tc>
          <w:tcPr>
            <w:tcW w:w="1378" w:type="dxa"/>
            <w:vMerge w:val="restart"/>
            <w:noWrap w:val="0"/>
            <w:vAlign w:val="center"/>
          </w:tcPr>
          <w:p w14:paraId="5BEFC6BE">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科研处</w:t>
            </w:r>
          </w:p>
        </w:tc>
      </w:tr>
      <w:tr w14:paraId="072D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5CBBACA">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7</w:t>
            </w:r>
          </w:p>
        </w:tc>
        <w:tc>
          <w:tcPr>
            <w:tcW w:w="2276" w:type="dxa"/>
            <w:noWrap w:val="0"/>
            <w:vAlign w:val="center"/>
          </w:tcPr>
          <w:p w14:paraId="77CB262C">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推动高校哲学社会科学繁荣发展路径研究</w:t>
            </w:r>
          </w:p>
        </w:tc>
        <w:tc>
          <w:tcPr>
            <w:tcW w:w="4155" w:type="dxa"/>
            <w:noWrap w:val="0"/>
            <w:vAlign w:val="center"/>
          </w:tcPr>
          <w:p w14:paraId="4956C20B">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高校哲学社会科学研究对繁荣发展广东哲学社会科学事业具有重大意义。通过研究，对近几年的研究工作进行总结，进一步指导推动广东高校“十五五”时期在哲学社会科学研究方面加强资源统筹，健全工作机制，形成体系研究，打造更多亮点，为广东高质量发展提供强有力的理论支撑和智力支持。</w:t>
            </w:r>
          </w:p>
        </w:tc>
        <w:tc>
          <w:tcPr>
            <w:tcW w:w="3679" w:type="dxa"/>
            <w:noWrap w:val="0"/>
            <w:vAlign w:val="center"/>
          </w:tcPr>
          <w:p w14:paraId="49F9531A">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从全省的角度，对我省近年来在高校哲学社会科学方面研究的工作情况进行系统梳理，包括采取的措施、取得的成绩、存在的亮点和问题等，进一步总结经验与不足，同时对“十五五”时期我省如何加强高校哲学社会科学研究进行系统谋划，包括应出台哪些具体政策措施，如何打造独具广东特色的理论创新研究体系，如何进一步打磨培育平台项目以及如何更好提供咨询决策、智力支撑等。</w:t>
            </w:r>
          </w:p>
        </w:tc>
        <w:tc>
          <w:tcPr>
            <w:tcW w:w="1399" w:type="dxa"/>
            <w:noWrap w:val="0"/>
            <w:vAlign w:val="center"/>
          </w:tcPr>
          <w:p w14:paraId="7D40EEF5">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020-37627742</w:t>
            </w:r>
          </w:p>
        </w:tc>
        <w:tc>
          <w:tcPr>
            <w:tcW w:w="1378" w:type="dxa"/>
            <w:vMerge w:val="continue"/>
            <w:noWrap w:val="0"/>
            <w:vAlign w:val="center"/>
          </w:tcPr>
          <w:p w14:paraId="4551229C">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p>
        </w:tc>
      </w:tr>
      <w:tr w14:paraId="58AD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E6C3D2A">
            <w:pPr>
              <w:widowControl/>
              <w:numPr>
                <w:ilvl w:val="0"/>
                <w:numId w:val="0"/>
              </w:numPr>
              <w:autoSpaceDE/>
              <w:spacing w:line="0" w:lineRule="atLeast"/>
              <w:ind w:firstLine="240" w:firstLineChars="100"/>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18</w:t>
            </w:r>
          </w:p>
        </w:tc>
        <w:tc>
          <w:tcPr>
            <w:tcW w:w="2276" w:type="dxa"/>
            <w:noWrap w:val="0"/>
            <w:vAlign w:val="center"/>
          </w:tcPr>
          <w:p w14:paraId="4E5AE880">
            <w:pPr>
              <w:widowControl/>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建设全省教育大数据中心提升管理决策效能路径研究</w:t>
            </w:r>
          </w:p>
        </w:tc>
        <w:tc>
          <w:tcPr>
            <w:tcW w:w="4155" w:type="dxa"/>
            <w:noWrap w:val="0"/>
            <w:vAlign w:val="center"/>
          </w:tcPr>
          <w:p w14:paraId="1DC97971">
            <w:pPr>
              <w:widowControl/>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随着信息化时代的来临，教育大数据中心已成为现代教育管理和决策的重要基础设施，建设全省教育大数据中心将对我省教育行政管理部门增强管理决策、监测预警、应急调度等方面能力水平具有重要意义。</w:t>
            </w:r>
          </w:p>
        </w:tc>
        <w:tc>
          <w:tcPr>
            <w:tcW w:w="3679" w:type="dxa"/>
            <w:noWrap w:val="0"/>
            <w:vAlign w:val="center"/>
          </w:tcPr>
          <w:p w14:paraId="614FB4C2">
            <w:pPr>
              <w:widowControl/>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基于全省各级各类教育发展形成的各类数据资源和教育管理决策需要，研究提出各类教育数据的收集、梳理、分析的路径和方法，形成全省教育大数据中心建设的实施方案和运行管理机制，实现利用现代信息技术创新管理方式、提高管理效率,有效支撑</w:t>
            </w:r>
            <w:r>
              <w:rPr>
                <w:rFonts w:hint="eastAsia" w:ascii="仿宋_GB2312" w:hAnsi="仿宋_GB2312" w:eastAsia="仿宋_GB2312" w:cs="仿宋_GB2312"/>
                <w:kern w:val="2"/>
                <w:sz w:val="24"/>
                <w:szCs w:val="24"/>
                <w:lang w:val="en-US" w:eastAsia="zh-CN" w:bidi="ar"/>
              </w:rPr>
              <w:t>管理决策、</w:t>
            </w:r>
            <w:r>
              <w:rPr>
                <w:rFonts w:hint="eastAsia" w:ascii="仿宋_GB2312" w:hAnsi="仿宋_GB2312" w:eastAsia="仿宋_GB2312" w:cs="仿宋_GB2312"/>
                <w:kern w:val="2"/>
                <w:sz w:val="24"/>
                <w:szCs w:val="24"/>
                <w:lang w:eastAsia="zh-CN" w:bidi="ar"/>
              </w:rPr>
              <w:t>监测预警、应急调度的功能。</w:t>
            </w:r>
          </w:p>
        </w:tc>
        <w:tc>
          <w:tcPr>
            <w:tcW w:w="1399" w:type="dxa"/>
            <w:noWrap w:val="0"/>
            <w:vAlign w:val="center"/>
          </w:tcPr>
          <w:p w14:paraId="1F0792C6">
            <w:pPr>
              <w:widowControl/>
              <w:autoSpaceDE/>
              <w:spacing w:line="0" w:lineRule="atLeast"/>
              <w:jc w:val="center"/>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020-37628711</w:t>
            </w:r>
          </w:p>
        </w:tc>
        <w:tc>
          <w:tcPr>
            <w:tcW w:w="1378" w:type="dxa"/>
            <w:vMerge w:val="continue"/>
            <w:noWrap w:val="0"/>
            <w:vAlign w:val="center"/>
          </w:tcPr>
          <w:p w14:paraId="5B920A64">
            <w:pPr>
              <w:autoSpaceDE/>
              <w:autoSpaceDN/>
              <w:spacing w:line="0" w:lineRule="atLeast"/>
              <w:jc w:val="center"/>
              <w:rPr>
                <w:rFonts w:hint="eastAsia" w:ascii="仿宋_GB2312" w:hAnsi="仿宋_GB2312" w:eastAsia="仿宋_GB2312" w:cs="仿宋_GB2312"/>
                <w:sz w:val="24"/>
                <w:szCs w:val="24"/>
                <w:lang w:eastAsia="zh-CN"/>
              </w:rPr>
            </w:pPr>
          </w:p>
        </w:tc>
      </w:tr>
      <w:tr w14:paraId="6642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B514E9A">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w:t>
            </w:r>
            <w:r>
              <w:rPr>
                <w:rFonts w:hint="eastAsia" w:ascii="仿宋_GB2312" w:hAnsi="仿宋_GB2312" w:eastAsia="仿宋_GB2312" w:cs="仿宋_GB2312"/>
                <w:kern w:val="2"/>
                <w:sz w:val="24"/>
                <w:szCs w:val="24"/>
                <w:lang w:val="en-US" w:eastAsia="zh-CN"/>
              </w:rPr>
              <w:t>9</w:t>
            </w:r>
          </w:p>
        </w:tc>
        <w:tc>
          <w:tcPr>
            <w:tcW w:w="2276" w:type="dxa"/>
            <w:noWrap w:val="0"/>
            <w:vAlign w:val="center"/>
          </w:tcPr>
          <w:p w14:paraId="7F9EBEE1">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深化学校体育高质量发展</w:t>
            </w:r>
          </w:p>
        </w:tc>
        <w:tc>
          <w:tcPr>
            <w:tcW w:w="4155" w:type="dxa"/>
            <w:noWrap w:val="0"/>
            <w:vAlign w:val="center"/>
          </w:tcPr>
          <w:p w14:paraId="735726EF">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深入贯彻全国教育大会精神，落实《教育强国建设规划纲要（2024—2035 年）》部署，以义务教育阶段学校为重点，有效推动落实中小学生综合体育活动增时长、提质量，推进体育教学改革，完善体育竞赛体系，畅通人才成长通道，促进学校体育高质量发展，推动学生体育锻炼质效全面提升、人才培养更有成效。</w:t>
            </w:r>
          </w:p>
        </w:tc>
        <w:tc>
          <w:tcPr>
            <w:tcW w:w="3679" w:type="dxa"/>
            <w:noWrap w:val="0"/>
            <w:vAlign w:val="center"/>
          </w:tcPr>
          <w:p w14:paraId="1E8636D9">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结合广东在资源禀赋、区位优势、体育教育基础等方面的现实情况，研究推进体育教学改革、完善体育竞赛体系、强化体育评价牵引、健全师资条件保障、畅通人才成长通道等方面的改革措施。以义务教育阶段学校为重点，探索行之有效的推进中小学生每天综合体育活动时间不低于2小时、每天开设1节体育课的实施路径，建立长效工作机制。</w:t>
            </w:r>
          </w:p>
        </w:tc>
        <w:tc>
          <w:tcPr>
            <w:tcW w:w="1399" w:type="dxa"/>
            <w:vMerge w:val="restart"/>
            <w:noWrap w:val="0"/>
            <w:vAlign w:val="center"/>
          </w:tcPr>
          <w:p w14:paraId="4B7006D8">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020-37626353</w:t>
            </w:r>
          </w:p>
        </w:tc>
        <w:tc>
          <w:tcPr>
            <w:tcW w:w="1378" w:type="dxa"/>
            <w:vMerge w:val="restart"/>
            <w:noWrap w:val="0"/>
            <w:vAlign w:val="center"/>
          </w:tcPr>
          <w:p w14:paraId="1D1058DA">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体育卫生与艺术教育处</w:t>
            </w:r>
          </w:p>
        </w:tc>
      </w:tr>
      <w:tr w14:paraId="65EB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2F95B03">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20</w:t>
            </w:r>
          </w:p>
        </w:tc>
        <w:tc>
          <w:tcPr>
            <w:tcW w:w="2276" w:type="dxa"/>
            <w:noWrap w:val="0"/>
            <w:vAlign w:val="center"/>
          </w:tcPr>
          <w:p w14:paraId="2D605751">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加强校园足球建设</w:t>
            </w:r>
          </w:p>
        </w:tc>
        <w:tc>
          <w:tcPr>
            <w:tcW w:w="4155" w:type="dxa"/>
            <w:noWrap w:val="0"/>
            <w:vAlign w:val="center"/>
          </w:tcPr>
          <w:p w14:paraId="1169E2D4">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贯彻落实《教育强国建设规划纲要（2024—2035 年）》《教育部等7部门关于加强和改进新时代青少年校园足球工作的实施意见》精神，加强和改进新时代校园足球工作，解决校园足球改革发展中存在的突出问题，推进校园足球健康持续高质量发展。</w:t>
            </w:r>
          </w:p>
        </w:tc>
        <w:tc>
          <w:tcPr>
            <w:tcW w:w="3679" w:type="dxa"/>
            <w:noWrap w:val="0"/>
            <w:vAlign w:val="center"/>
          </w:tcPr>
          <w:p w14:paraId="2FFBCC28">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提升校园足球特色学校建设质量，提高普及面和水平。构建科学合理的青少年足球人才培养改革体系，加强足球学院和足球运动专业建设，畅通校园足球人才成长通道。完善竞赛体系，强化联赛组织管理，营造风清气正的校园足球发展环境。促进校园足球区域交流和文化建设。</w:t>
            </w:r>
          </w:p>
        </w:tc>
        <w:tc>
          <w:tcPr>
            <w:tcW w:w="1399" w:type="dxa"/>
            <w:vMerge w:val="continue"/>
            <w:noWrap w:val="0"/>
            <w:vAlign w:val="center"/>
          </w:tcPr>
          <w:p w14:paraId="242624B2">
            <w:pPr>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72B75625">
            <w:pPr>
              <w:autoSpaceDE/>
              <w:autoSpaceDN/>
              <w:spacing w:line="0" w:lineRule="atLeast"/>
              <w:jc w:val="center"/>
              <w:rPr>
                <w:rFonts w:hint="eastAsia" w:ascii="仿宋_GB2312" w:hAnsi="仿宋_GB2312" w:eastAsia="仿宋_GB2312" w:cs="仿宋_GB2312"/>
                <w:kern w:val="2"/>
                <w:sz w:val="24"/>
                <w:szCs w:val="24"/>
                <w:lang w:eastAsia="zh-CN"/>
              </w:rPr>
            </w:pPr>
          </w:p>
        </w:tc>
      </w:tr>
      <w:tr w14:paraId="7B23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30" w:type="dxa"/>
            <w:noWrap w:val="0"/>
            <w:vAlign w:val="center"/>
          </w:tcPr>
          <w:p w14:paraId="3EAA3744">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1</w:t>
            </w:r>
          </w:p>
        </w:tc>
        <w:tc>
          <w:tcPr>
            <w:tcW w:w="2276" w:type="dxa"/>
            <w:noWrap w:val="0"/>
            <w:vAlign w:val="center"/>
          </w:tcPr>
          <w:p w14:paraId="0C671C7E">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中小学实施全员艺术素质测评的路径研究</w:t>
            </w:r>
          </w:p>
        </w:tc>
        <w:tc>
          <w:tcPr>
            <w:tcW w:w="4155" w:type="dxa"/>
            <w:noWrap w:val="0"/>
            <w:vAlign w:val="center"/>
          </w:tcPr>
          <w:p w14:paraId="63634098">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落实《教育部关于全面实施学校美育浸润行动的通知》要求，实施美育评价机制优化行动，推进美育教学改革，构建完善艺术学科与其他学科协同推进的美育课程体系，将测评结果纳入初、高中学生综合素质评价。</w:t>
            </w:r>
          </w:p>
        </w:tc>
        <w:tc>
          <w:tcPr>
            <w:tcW w:w="3679" w:type="dxa"/>
            <w:noWrap w:val="0"/>
            <w:vAlign w:val="center"/>
          </w:tcPr>
          <w:p w14:paraId="63A83BA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针对中小学实施全面艺术素质测评的政策实施建议、多元评价方式路径、测评内容与方法的拓展、学生审美能力的考查等内容展开研究，利用现代技术手段促进客观公正评价。</w:t>
            </w:r>
          </w:p>
        </w:tc>
        <w:tc>
          <w:tcPr>
            <w:tcW w:w="1399" w:type="dxa"/>
            <w:noWrap w:val="0"/>
            <w:vAlign w:val="center"/>
          </w:tcPr>
          <w:p w14:paraId="55DF9DCF">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020-37628026</w:t>
            </w:r>
          </w:p>
        </w:tc>
        <w:tc>
          <w:tcPr>
            <w:tcW w:w="1378" w:type="dxa"/>
            <w:vMerge w:val="continue"/>
            <w:noWrap w:val="0"/>
            <w:vAlign w:val="center"/>
          </w:tcPr>
          <w:p w14:paraId="35D2144D">
            <w:pPr>
              <w:autoSpaceDE/>
              <w:autoSpaceDN/>
              <w:spacing w:line="0" w:lineRule="atLeast"/>
              <w:jc w:val="center"/>
              <w:rPr>
                <w:rFonts w:hint="eastAsia" w:ascii="仿宋_GB2312" w:hAnsi="仿宋_GB2312" w:eastAsia="仿宋_GB2312" w:cs="仿宋_GB2312"/>
                <w:kern w:val="2"/>
                <w:sz w:val="24"/>
                <w:szCs w:val="24"/>
                <w:lang w:eastAsia="zh-CN"/>
              </w:rPr>
            </w:pPr>
          </w:p>
        </w:tc>
      </w:tr>
      <w:tr w14:paraId="3CA7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30" w:type="dxa"/>
            <w:noWrap w:val="0"/>
            <w:vAlign w:val="center"/>
          </w:tcPr>
          <w:p w14:paraId="190DF18B">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2</w:t>
            </w:r>
          </w:p>
        </w:tc>
        <w:tc>
          <w:tcPr>
            <w:tcW w:w="2276" w:type="dxa"/>
            <w:noWrap w:val="0"/>
            <w:vAlign w:val="center"/>
          </w:tcPr>
          <w:p w14:paraId="2FDD719A">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加强学校卫生专业技术人员队伍建设路径探索</w:t>
            </w:r>
          </w:p>
        </w:tc>
        <w:tc>
          <w:tcPr>
            <w:tcW w:w="4155" w:type="dxa"/>
            <w:noWrap w:val="0"/>
            <w:vAlign w:val="center"/>
          </w:tcPr>
          <w:p w14:paraId="2856744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加强学校卫生专业技术人员队伍建设是落实健康第一教育理念和《教育部等五部门关于全面加强和改进新时代学校卫生与健康教育工作的意见》精神的基本要求，是推动建设健康学校，提升师生健康素养，强化学校疾病防治体系，保障师生生命安全和身心健康的重要基础，是学校卫生与健康教育工作重点内容和急需突破的瓶颈问题。</w:t>
            </w:r>
          </w:p>
        </w:tc>
        <w:tc>
          <w:tcPr>
            <w:tcW w:w="3679" w:type="dxa"/>
            <w:noWrap w:val="0"/>
            <w:vAlign w:val="center"/>
          </w:tcPr>
          <w:p w14:paraId="5618EEFA">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全面摸清当前全省学校卫生专业技术人员队伍建设现状，认真梳理总结各地各校有效方法路径，深入分析查找存在的问题困难和原因症结，结合我省实际和兄弟省市有益经验提出切实可行的路径方法和政策建议。</w:t>
            </w:r>
          </w:p>
        </w:tc>
        <w:tc>
          <w:tcPr>
            <w:tcW w:w="1399" w:type="dxa"/>
            <w:noWrap w:val="0"/>
            <w:vAlign w:val="center"/>
          </w:tcPr>
          <w:p w14:paraId="71E9065B">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020-37629769</w:t>
            </w:r>
          </w:p>
        </w:tc>
        <w:tc>
          <w:tcPr>
            <w:tcW w:w="1378" w:type="dxa"/>
            <w:vMerge w:val="continue"/>
            <w:noWrap w:val="0"/>
            <w:vAlign w:val="center"/>
          </w:tcPr>
          <w:p w14:paraId="39B917C0">
            <w:pPr>
              <w:autoSpaceDE/>
              <w:autoSpaceDN/>
              <w:spacing w:line="0" w:lineRule="atLeast"/>
              <w:jc w:val="center"/>
              <w:rPr>
                <w:rFonts w:hint="eastAsia" w:ascii="仿宋_GB2312" w:hAnsi="仿宋_GB2312" w:eastAsia="仿宋_GB2312" w:cs="仿宋_GB2312"/>
                <w:kern w:val="2"/>
                <w:sz w:val="24"/>
                <w:szCs w:val="24"/>
                <w:lang w:eastAsia="zh-CN"/>
              </w:rPr>
            </w:pPr>
          </w:p>
        </w:tc>
      </w:tr>
      <w:tr w14:paraId="10FF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CCCAA37">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3</w:t>
            </w:r>
          </w:p>
        </w:tc>
        <w:tc>
          <w:tcPr>
            <w:tcW w:w="2276" w:type="dxa"/>
            <w:noWrap w:val="0"/>
            <w:vAlign w:val="center"/>
          </w:tcPr>
          <w:p w14:paraId="60A7F0A4">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广东高校国防教育师资队伍建设路径研究</w:t>
            </w:r>
          </w:p>
        </w:tc>
        <w:tc>
          <w:tcPr>
            <w:tcW w:w="4155" w:type="dxa"/>
            <w:noWrap w:val="0"/>
            <w:vAlign w:val="center"/>
          </w:tcPr>
          <w:p w14:paraId="370F55F8">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聚焦广东高校国防教育师资队伍存在数量不足、专业素养参差不齐等问题，深入剖析广东高校国防教育师资队伍现状，探索科学合理的建设路径，为更好地落实国防教育课程，提高师资队伍整体水平提供理论支持与实践指导。</w:t>
            </w:r>
          </w:p>
        </w:tc>
        <w:tc>
          <w:tcPr>
            <w:tcW w:w="3679" w:type="dxa"/>
            <w:noWrap w:val="0"/>
            <w:vAlign w:val="center"/>
          </w:tcPr>
          <w:p w14:paraId="795B254F">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对广东高校国防教育师资队伍的数量、学历、专业背景等进行全面调查，分析存在的问题与不足；</w:t>
            </w:r>
          </w:p>
          <w:p w14:paraId="343F3049">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结合国防教育目标和高校实际，分析师资队伍在知识、技能、素养等方面的具体需求；</w:t>
            </w:r>
          </w:p>
          <w:p w14:paraId="3AD724B5">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从选拔、培训、考核、激励等环节入手，研究适合广东高校国防教育师资队伍建设的有效路径，如建立专业培训体系、完善考核激励机制等。</w:t>
            </w:r>
          </w:p>
        </w:tc>
        <w:tc>
          <w:tcPr>
            <w:tcW w:w="1399" w:type="dxa"/>
            <w:noWrap w:val="0"/>
            <w:vAlign w:val="center"/>
          </w:tcPr>
          <w:p w14:paraId="0F7D46DE">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020-36726931</w:t>
            </w:r>
          </w:p>
        </w:tc>
        <w:tc>
          <w:tcPr>
            <w:tcW w:w="1378" w:type="dxa"/>
            <w:vMerge w:val="continue"/>
            <w:noWrap w:val="0"/>
            <w:vAlign w:val="center"/>
          </w:tcPr>
          <w:p w14:paraId="5906BDCD">
            <w:pPr>
              <w:autoSpaceDE/>
              <w:autoSpaceDN/>
              <w:spacing w:line="0" w:lineRule="atLeast"/>
              <w:jc w:val="center"/>
              <w:rPr>
                <w:rFonts w:hint="eastAsia" w:ascii="仿宋_GB2312" w:hAnsi="仿宋_GB2312" w:eastAsia="仿宋_GB2312" w:cs="仿宋_GB2312"/>
                <w:kern w:val="2"/>
                <w:sz w:val="24"/>
                <w:szCs w:val="24"/>
                <w:lang w:eastAsia="zh-CN"/>
              </w:rPr>
            </w:pPr>
          </w:p>
        </w:tc>
      </w:tr>
      <w:tr w14:paraId="6F6F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B553259">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4</w:t>
            </w:r>
          </w:p>
        </w:tc>
        <w:tc>
          <w:tcPr>
            <w:tcW w:w="2276" w:type="dxa"/>
            <w:noWrap w:val="0"/>
            <w:vAlign w:val="center"/>
          </w:tcPr>
          <w:p w14:paraId="18B2062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健全师德师风建设长效机制研究</w:t>
            </w:r>
          </w:p>
        </w:tc>
        <w:tc>
          <w:tcPr>
            <w:tcW w:w="4155" w:type="dxa"/>
            <w:noWrap w:val="0"/>
            <w:vAlign w:val="center"/>
          </w:tcPr>
          <w:p w14:paraId="29A3D043">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师德师风是评价教师队伍素质的第一标准。中央教育工作领导小组秘书组印发了《关于健全新时代师德师风建设长效机制的意见》，省教育厅认真对标对表上级要求，研究拟制加强我省师德师风建设的制度体系。</w:t>
            </w:r>
          </w:p>
        </w:tc>
        <w:tc>
          <w:tcPr>
            <w:tcW w:w="3679" w:type="dxa"/>
            <w:noWrap w:val="0"/>
            <w:vAlign w:val="center"/>
          </w:tcPr>
          <w:p w14:paraId="6B9B49C5">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1.研究制定加强我省师德师风建设长效机制系列措施。</w:t>
            </w:r>
          </w:p>
          <w:p w14:paraId="16B1B601">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2.总结固化师德师风建设的经验做法，研究分析新时代师德师风建设面临的新形势新特点新挑战，创新提出加强改进的措施办法。</w:t>
            </w:r>
          </w:p>
        </w:tc>
        <w:tc>
          <w:tcPr>
            <w:tcW w:w="1399" w:type="dxa"/>
            <w:noWrap w:val="0"/>
            <w:vAlign w:val="center"/>
          </w:tcPr>
          <w:p w14:paraId="52CFECF2">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020-37626935</w:t>
            </w:r>
          </w:p>
        </w:tc>
        <w:tc>
          <w:tcPr>
            <w:tcW w:w="1378" w:type="dxa"/>
            <w:vMerge w:val="restart"/>
            <w:noWrap w:val="0"/>
            <w:vAlign w:val="center"/>
          </w:tcPr>
          <w:p w14:paraId="76BA08EA">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师资管理处</w:t>
            </w:r>
          </w:p>
        </w:tc>
      </w:tr>
      <w:tr w14:paraId="0751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EE02B3E">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5</w:t>
            </w:r>
          </w:p>
        </w:tc>
        <w:tc>
          <w:tcPr>
            <w:tcW w:w="2276" w:type="dxa"/>
            <w:noWrap w:val="0"/>
            <w:vAlign w:val="center"/>
          </w:tcPr>
          <w:p w14:paraId="4F2F2524">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中小学教师非教育教学负担量化监测研究</w:t>
            </w:r>
          </w:p>
        </w:tc>
        <w:tc>
          <w:tcPr>
            <w:tcW w:w="4155" w:type="dxa"/>
            <w:noWrap w:val="0"/>
            <w:vAlign w:val="center"/>
          </w:tcPr>
          <w:p w14:paraId="0ECF591C">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减轻中小学教师非教育教学负担是教育系统深入贯彻落实党中央关于整治形式主义为基层减负部署要求的重要内容。省委改革办将规范社会事务进校园减轻教师非教育教学负担作为2025年重点改革工作安排。省教育厅积极推进减轻中小学教师非教育教学负担，建立健全“简便易行、务实高效”长效机制。</w:t>
            </w:r>
          </w:p>
        </w:tc>
        <w:tc>
          <w:tcPr>
            <w:tcW w:w="3679" w:type="dxa"/>
            <w:noWrap w:val="0"/>
            <w:vAlign w:val="center"/>
          </w:tcPr>
          <w:p w14:paraId="721A78E6">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1.研究构建体现中小学教师非教育教学负担的量化指标体系和评价方法。</w:t>
            </w:r>
          </w:p>
          <w:p w14:paraId="1E63C70C">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2.研究构建中小学教师非教育教学负担监测方法，指导开展定期与常态化监测工作，实时掌握中小学教师非教育教学负担情况，以可感可及的量化形式体现减负工作措施取得的成效。</w:t>
            </w:r>
          </w:p>
        </w:tc>
        <w:tc>
          <w:tcPr>
            <w:tcW w:w="1399" w:type="dxa"/>
            <w:noWrap w:val="0"/>
            <w:vAlign w:val="center"/>
          </w:tcPr>
          <w:p w14:paraId="6EBDED80">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020-37629156</w:t>
            </w:r>
          </w:p>
        </w:tc>
        <w:tc>
          <w:tcPr>
            <w:tcW w:w="1378" w:type="dxa"/>
            <w:vMerge w:val="continue"/>
            <w:noWrap w:val="0"/>
            <w:vAlign w:val="center"/>
          </w:tcPr>
          <w:p w14:paraId="1BD48FA0">
            <w:pPr>
              <w:autoSpaceDE/>
              <w:autoSpaceDN/>
              <w:spacing w:line="0" w:lineRule="atLeast"/>
              <w:jc w:val="center"/>
              <w:rPr>
                <w:rFonts w:hint="eastAsia" w:ascii="仿宋_GB2312" w:hAnsi="仿宋_GB2312" w:eastAsia="仿宋_GB2312" w:cs="仿宋_GB2312"/>
                <w:kern w:val="2"/>
                <w:sz w:val="24"/>
                <w:szCs w:val="24"/>
                <w:lang w:eastAsia="zh-CN"/>
              </w:rPr>
            </w:pPr>
          </w:p>
        </w:tc>
      </w:tr>
      <w:tr w14:paraId="66F1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2AABBE8">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6</w:t>
            </w:r>
          </w:p>
        </w:tc>
        <w:tc>
          <w:tcPr>
            <w:tcW w:w="2276" w:type="dxa"/>
            <w:noWrap w:val="0"/>
            <w:vAlign w:val="center"/>
          </w:tcPr>
          <w:p w14:paraId="0D9C51AF">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深化中小学教师“县管校聘”管理改革研究</w:t>
            </w:r>
          </w:p>
        </w:tc>
        <w:tc>
          <w:tcPr>
            <w:tcW w:w="4155" w:type="dxa"/>
            <w:noWrap w:val="0"/>
            <w:vAlign w:val="center"/>
          </w:tcPr>
          <w:p w14:paraId="1226DCD7">
            <w:pPr>
              <w:autoSpaceDE/>
              <w:autoSpaceDN/>
              <w:spacing w:line="0" w:lineRule="atLeast"/>
              <w:ind w:firstLine="240" w:firstLineChars="1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中小学教师“县管校聘”管理改革是党中央、国务院和省委省政府重大决策部署，我省2017年底以来持续推进该项任务，总体改革成效明显。省委改革办将深化中小学教师“县管校聘”管理改革作为2025年重点改革工作安排。深化中小学“县管校聘”研究，有利于优化区域教育资源均衡配制，更好应对当前人口资源急剧变化的严峻形势。</w:t>
            </w:r>
          </w:p>
        </w:tc>
        <w:tc>
          <w:tcPr>
            <w:tcW w:w="3679" w:type="dxa"/>
            <w:noWrap w:val="0"/>
            <w:vAlign w:val="center"/>
          </w:tcPr>
          <w:p w14:paraId="5FC8BC73">
            <w:pPr>
              <w:numPr>
                <w:ilvl w:val="0"/>
                <w:numId w:val="2"/>
              </w:num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研究建立县域内中小学师资动态调配机制，进一步优化区域内基础教育教师资源的均衡配置，更好的满足教育教学改革发展对师资的实际需求；</w:t>
            </w:r>
          </w:p>
          <w:p w14:paraId="68292A39">
            <w:pPr>
              <w:numPr>
                <w:ilvl w:val="0"/>
                <w:numId w:val="0"/>
              </w:num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2.研究构建中小学教师工作岗位聘任考核评价体系和评价方法，探索建立能上能下、能进能进的工作机制，有效激发教师工作的积极性、主动性。</w:t>
            </w:r>
          </w:p>
        </w:tc>
        <w:tc>
          <w:tcPr>
            <w:tcW w:w="1399" w:type="dxa"/>
            <w:noWrap w:val="0"/>
            <w:vAlign w:val="center"/>
          </w:tcPr>
          <w:p w14:paraId="6A23CCB9">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020-37629059、020-37629156</w:t>
            </w:r>
          </w:p>
        </w:tc>
        <w:tc>
          <w:tcPr>
            <w:tcW w:w="1378" w:type="dxa"/>
            <w:vMerge w:val="continue"/>
            <w:noWrap w:val="0"/>
            <w:vAlign w:val="center"/>
          </w:tcPr>
          <w:p w14:paraId="4D2FDDFE">
            <w:pPr>
              <w:autoSpaceDE/>
              <w:autoSpaceDN/>
              <w:spacing w:line="0" w:lineRule="atLeast"/>
              <w:jc w:val="center"/>
              <w:rPr>
                <w:rFonts w:hint="eastAsia" w:ascii="仿宋_GB2312" w:hAnsi="仿宋_GB2312" w:eastAsia="仿宋_GB2312" w:cs="仿宋_GB2312"/>
                <w:kern w:val="2"/>
                <w:sz w:val="24"/>
                <w:szCs w:val="24"/>
                <w:lang w:eastAsia="zh-CN"/>
              </w:rPr>
            </w:pPr>
          </w:p>
        </w:tc>
      </w:tr>
      <w:tr w14:paraId="7876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DC9D12F">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7</w:t>
            </w:r>
          </w:p>
        </w:tc>
        <w:tc>
          <w:tcPr>
            <w:tcW w:w="2276" w:type="dxa"/>
            <w:noWrap w:val="0"/>
            <w:vAlign w:val="center"/>
          </w:tcPr>
          <w:p w14:paraId="436DFC9F">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教师教育创新机制改革研究</w:t>
            </w:r>
          </w:p>
        </w:tc>
        <w:tc>
          <w:tcPr>
            <w:tcW w:w="4155" w:type="dxa"/>
            <w:noWrap w:val="0"/>
            <w:vAlign w:val="center"/>
          </w:tcPr>
          <w:p w14:paraId="69D1B3E2">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教师教育是教育事业的工作母机，是教师队伍建设的源头活水。立足新时代教育强国建设的新需求，推动构建高水平教师教育的新格局，建立教师教育课程的新体系，探索高质量教师教育实施的新路径，探索高水平教师培养的新模式，有利于培养造就一大批信念坚定、素质过硬、挺膺担当的高水平教师，为一体推进教育科技人才事业发展提供重要服务和支撑。</w:t>
            </w:r>
          </w:p>
        </w:tc>
        <w:tc>
          <w:tcPr>
            <w:tcW w:w="3679" w:type="dxa"/>
            <w:noWrap w:val="0"/>
            <w:vAlign w:val="center"/>
          </w:tcPr>
          <w:p w14:paraId="7A3E91C6">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研究建立适应学龄人口变动的教师人才供需衔接的新机制，进一步优化教师培养层次和结构，探索构建适应科学教育和创新人才培养的教师教育专业与课程新体系，推动建立与人工智能等新技术相适应的数字化赋能教师培养新模式。</w:t>
            </w:r>
          </w:p>
        </w:tc>
        <w:tc>
          <w:tcPr>
            <w:tcW w:w="1399" w:type="dxa"/>
            <w:noWrap w:val="0"/>
            <w:vAlign w:val="center"/>
          </w:tcPr>
          <w:p w14:paraId="340CE59B">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020-37629059</w:t>
            </w:r>
          </w:p>
        </w:tc>
        <w:tc>
          <w:tcPr>
            <w:tcW w:w="1378" w:type="dxa"/>
            <w:vMerge w:val="continue"/>
            <w:noWrap w:val="0"/>
            <w:vAlign w:val="center"/>
          </w:tcPr>
          <w:p w14:paraId="5F71A6E0">
            <w:pPr>
              <w:autoSpaceDE/>
              <w:autoSpaceDN/>
              <w:spacing w:line="0" w:lineRule="atLeast"/>
              <w:jc w:val="center"/>
              <w:rPr>
                <w:rFonts w:hint="eastAsia" w:ascii="仿宋_GB2312" w:hAnsi="仿宋_GB2312" w:eastAsia="仿宋_GB2312" w:cs="仿宋_GB2312"/>
                <w:kern w:val="2"/>
                <w:sz w:val="24"/>
                <w:szCs w:val="24"/>
                <w:lang w:eastAsia="zh-CN"/>
              </w:rPr>
            </w:pPr>
          </w:p>
        </w:tc>
      </w:tr>
      <w:tr w14:paraId="1557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886903F">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28</w:t>
            </w:r>
          </w:p>
        </w:tc>
        <w:tc>
          <w:tcPr>
            <w:tcW w:w="2276" w:type="dxa"/>
            <w:noWrap w:val="0"/>
            <w:vAlign w:val="center"/>
          </w:tcPr>
          <w:p w14:paraId="4C32433C">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粤港澳高校合作办学模式创新研究</w:t>
            </w:r>
          </w:p>
        </w:tc>
        <w:tc>
          <w:tcPr>
            <w:tcW w:w="4155" w:type="dxa"/>
            <w:noWrap w:val="0"/>
            <w:vAlign w:val="center"/>
          </w:tcPr>
          <w:p w14:paraId="0630A882">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推动粤港澳高等教育深度融合发展，服务粤港澳大湾区国际教育示范区建设，提高湾区高等教育的国际引领力。</w:t>
            </w:r>
          </w:p>
        </w:tc>
        <w:tc>
          <w:tcPr>
            <w:tcW w:w="3679" w:type="dxa"/>
            <w:noWrap w:val="0"/>
            <w:vAlign w:val="center"/>
          </w:tcPr>
          <w:p w14:paraId="7DD00AD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探索粤港澳三地高校合作办学、联合培养人才、学分互认、交叉融合学科建设的创新路径、突破三地体制壁垒，推动规则衔接机制对接，优势互补互利共赢。也为推动国家出台内地与港澳合作办学管理办法提供实践经验与政策参考。</w:t>
            </w:r>
          </w:p>
        </w:tc>
        <w:tc>
          <w:tcPr>
            <w:tcW w:w="1399" w:type="dxa"/>
            <w:vMerge w:val="restart"/>
            <w:noWrap w:val="0"/>
            <w:vAlign w:val="center"/>
          </w:tcPr>
          <w:p w14:paraId="5C740634">
            <w:p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020-</w:t>
            </w:r>
            <w:r>
              <w:rPr>
                <w:rFonts w:hint="eastAsia" w:ascii="仿宋_GB2312" w:hAnsi="仿宋_GB2312" w:eastAsia="仿宋_GB2312" w:cs="仿宋_GB2312"/>
                <w:kern w:val="2"/>
                <w:sz w:val="24"/>
                <w:szCs w:val="24"/>
                <w:lang w:eastAsia="zh-CN"/>
              </w:rPr>
              <w:t>37628903</w:t>
            </w:r>
          </w:p>
        </w:tc>
        <w:tc>
          <w:tcPr>
            <w:tcW w:w="1378" w:type="dxa"/>
            <w:vMerge w:val="restart"/>
            <w:noWrap w:val="0"/>
            <w:vAlign w:val="center"/>
          </w:tcPr>
          <w:p w14:paraId="3B66D720">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交流合作处（港澳台办）</w:t>
            </w:r>
          </w:p>
        </w:tc>
      </w:tr>
      <w:tr w14:paraId="327E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A29697B">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29</w:t>
            </w:r>
          </w:p>
        </w:tc>
        <w:tc>
          <w:tcPr>
            <w:tcW w:w="2276" w:type="dxa"/>
            <w:noWrap w:val="0"/>
            <w:vAlign w:val="center"/>
          </w:tcPr>
          <w:p w14:paraId="3122890F">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当前国际形势下教育国际化宏观战略研究（区域国别研究）</w:t>
            </w:r>
          </w:p>
        </w:tc>
        <w:tc>
          <w:tcPr>
            <w:tcW w:w="4155" w:type="dxa"/>
            <w:noWrap w:val="0"/>
            <w:vAlign w:val="center"/>
          </w:tcPr>
          <w:p w14:paraId="1528F7E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贯彻落实教育强国建设规划纲要中对完善教育对外开放战略策略，建设具有全球影响力的重要教育中心的要求，以及中央周边工作会议有关精神，为广东教育实施“教育对外开放工程”提供有力支撑。</w:t>
            </w:r>
          </w:p>
        </w:tc>
        <w:tc>
          <w:tcPr>
            <w:tcW w:w="3679" w:type="dxa"/>
            <w:noWrap w:val="0"/>
            <w:vAlign w:val="center"/>
          </w:tcPr>
          <w:p w14:paraId="69916BB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结合当前国际形势，对欧美国家、周边国家、全球南方国家分类开展区域国别研究，提出对这三类区域开展教育交流合作的侧重点、切入点、预期成效，进而推动学科体系创新、复合型国际化人才培养、服务国家外交战略大局。</w:t>
            </w:r>
          </w:p>
        </w:tc>
        <w:tc>
          <w:tcPr>
            <w:tcW w:w="1399" w:type="dxa"/>
            <w:vMerge w:val="continue"/>
            <w:noWrap w:val="0"/>
            <w:vAlign w:val="center"/>
          </w:tcPr>
          <w:p w14:paraId="4DAE87A5">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5FACF14C">
            <w:pPr>
              <w:autoSpaceDE/>
              <w:autoSpaceDN/>
              <w:spacing w:line="0" w:lineRule="atLeast"/>
              <w:jc w:val="center"/>
              <w:rPr>
                <w:rFonts w:hint="eastAsia" w:ascii="仿宋_GB2312" w:hAnsi="仿宋_GB2312" w:eastAsia="仿宋_GB2312" w:cs="仿宋_GB2312"/>
                <w:kern w:val="2"/>
                <w:sz w:val="24"/>
                <w:szCs w:val="24"/>
                <w:lang w:eastAsia="zh-CN"/>
              </w:rPr>
            </w:pPr>
          </w:p>
        </w:tc>
      </w:tr>
      <w:tr w14:paraId="6EBC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2F11A9D">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30</w:t>
            </w:r>
          </w:p>
        </w:tc>
        <w:tc>
          <w:tcPr>
            <w:tcW w:w="2276" w:type="dxa"/>
            <w:noWrap w:val="0"/>
            <w:vAlign w:val="center"/>
          </w:tcPr>
          <w:p w14:paraId="63F7EF36">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“岭南工匠学院”建设模式及实施路径研究</w:t>
            </w:r>
          </w:p>
        </w:tc>
        <w:tc>
          <w:tcPr>
            <w:tcW w:w="4155" w:type="dxa"/>
            <w:noWrap w:val="0"/>
            <w:vAlign w:val="center"/>
          </w:tcPr>
          <w:p w14:paraId="5C43613B">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为深入贯彻落实党的二十大和二十届二中、三中全会精神以及习近平总书记关于教育对外开放、“一带一路”建设的重要指示，我省实施“岭南工匠学院”建设计划，打造广东特色的“职教出海”品牌。</w:t>
            </w:r>
          </w:p>
        </w:tc>
        <w:tc>
          <w:tcPr>
            <w:tcW w:w="3679" w:type="dxa"/>
            <w:noWrap w:val="0"/>
            <w:vAlign w:val="center"/>
          </w:tcPr>
          <w:p w14:paraId="4D87F30B">
            <w:pPr>
              <w:autoSpaceDE/>
              <w:autoSpaceDN/>
              <w:spacing w:line="0" w:lineRule="atLeast"/>
              <w:jc w:val="both"/>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根据《</w:t>
            </w:r>
            <w:r>
              <w:rPr>
                <w:rFonts w:hint="eastAsia" w:ascii="仿宋_GB2312" w:hAnsi="仿宋_GB2312" w:eastAsia="仿宋_GB2312" w:cs="仿宋_GB2312"/>
                <w:kern w:val="2"/>
                <w:sz w:val="24"/>
                <w:szCs w:val="24"/>
                <w:vertAlign w:val="baseline"/>
                <w:lang w:val="en-US" w:eastAsia="zh-CN"/>
              </w:rPr>
              <w:fldChar w:fldCharType="begin"/>
            </w:r>
            <w:r>
              <w:rPr>
                <w:rFonts w:hint="eastAsia" w:ascii="仿宋_GB2312" w:hAnsi="仿宋_GB2312" w:eastAsia="仿宋_GB2312" w:cs="仿宋_GB2312"/>
                <w:kern w:val="2"/>
                <w:sz w:val="24"/>
                <w:szCs w:val="24"/>
                <w:vertAlign w:val="baseline"/>
                <w:lang w:val="en-US" w:eastAsia="zh-CN"/>
              </w:rPr>
              <w:instrText xml:space="preserve"> HYPERLINK "javascript:;" \o "广东省教育厅  中共广东省委外事工作委员会办公室关于实施职业教育\“岭南工匠学院\”建设计划的指导意见" </w:instrText>
            </w:r>
            <w:r>
              <w:rPr>
                <w:rFonts w:hint="eastAsia" w:ascii="仿宋_GB2312" w:hAnsi="仿宋_GB2312" w:eastAsia="仿宋_GB2312" w:cs="仿宋_GB2312"/>
                <w:kern w:val="2"/>
                <w:sz w:val="24"/>
                <w:szCs w:val="24"/>
                <w:vertAlign w:val="baseline"/>
                <w:lang w:val="en-US" w:eastAsia="zh-CN"/>
              </w:rPr>
              <w:fldChar w:fldCharType="separate"/>
            </w:r>
            <w:r>
              <w:rPr>
                <w:rFonts w:hint="eastAsia" w:ascii="仿宋_GB2312" w:hAnsi="仿宋_GB2312" w:eastAsia="仿宋_GB2312" w:cs="仿宋_GB2312"/>
                <w:kern w:val="2"/>
                <w:sz w:val="24"/>
                <w:szCs w:val="24"/>
                <w:vertAlign w:val="baseline"/>
                <w:lang w:val="en-US" w:eastAsia="zh-CN"/>
              </w:rPr>
              <w:t>广东省教育厅 中共广东省委外事工作委员会办公室关于实施职业教育“岭南工匠学院”建设计划的指导意见</w:t>
            </w:r>
            <w:r>
              <w:rPr>
                <w:rFonts w:hint="eastAsia" w:ascii="仿宋_GB2312" w:hAnsi="仿宋_GB2312" w:eastAsia="仿宋_GB2312" w:cs="仿宋_GB2312"/>
                <w:kern w:val="2"/>
                <w:sz w:val="24"/>
                <w:szCs w:val="24"/>
                <w:vertAlign w:val="baseline"/>
                <w:lang w:val="en-US" w:eastAsia="zh-CN"/>
              </w:rPr>
              <w:fldChar w:fldCharType="end"/>
            </w:r>
            <w:r>
              <w:rPr>
                <w:rFonts w:hint="eastAsia" w:ascii="仿宋_GB2312" w:hAnsi="仿宋_GB2312" w:eastAsia="仿宋_GB2312" w:cs="仿宋_GB2312"/>
                <w:kern w:val="2"/>
                <w:sz w:val="24"/>
                <w:szCs w:val="24"/>
                <w:vertAlign w:val="baseline"/>
                <w:lang w:val="en-US" w:eastAsia="zh-CN"/>
              </w:rPr>
              <w:t>》，研究“岭南工匠学院”建设的重点区域、建设模式、实施路径，为“职教出海”如何服务国家外交大局、推进现代职业教育体系改革、提升教育对外开放水平提出政策参考。</w:t>
            </w:r>
          </w:p>
          <w:p w14:paraId="20DB7D23">
            <w:pPr>
              <w:autoSpaceDE/>
              <w:autoSpaceDN/>
              <w:spacing w:line="0" w:lineRule="atLeast"/>
              <w:jc w:val="both"/>
              <w:rPr>
                <w:rFonts w:hint="eastAsia" w:ascii="仿宋_GB2312" w:hAnsi="仿宋_GB2312" w:eastAsia="仿宋_GB2312" w:cs="仿宋_GB2312"/>
                <w:kern w:val="2"/>
                <w:sz w:val="24"/>
                <w:szCs w:val="24"/>
                <w:lang w:eastAsia="zh-CN"/>
              </w:rPr>
            </w:pPr>
          </w:p>
        </w:tc>
        <w:tc>
          <w:tcPr>
            <w:tcW w:w="1399" w:type="dxa"/>
            <w:vMerge w:val="continue"/>
            <w:noWrap w:val="0"/>
            <w:vAlign w:val="center"/>
          </w:tcPr>
          <w:p w14:paraId="20ED7853">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5D2A412E">
            <w:pPr>
              <w:autoSpaceDE/>
              <w:autoSpaceDN/>
              <w:spacing w:line="0" w:lineRule="atLeast"/>
              <w:jc w:val="center"/>
              <w:rPr>
                <w:rFonts w:hint="eastAsia" w:ascii="仿宋_GB2312" w:hAnsi="仿宋_GB2312" w:eastAsia="仿宋_GB2312" w:cs="仿宋_GB2312"/>
                <w:kern w:val="2"/>
                <w:sz w:val="24"/>
                <w:szCs w:val="24"/>
                <w:lang w:eastAsia="zh-CN"/>
              </w:rPr>
            </w:pPr>
          </w:p>
        </w:tc>
      </w:tr>
      <w:tr w14:paraId="0FEE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730" w:type="dxa"/>
            <w:noWrap w:val="0"/>
            <w:vAlign w:val="center"/>
          </w:tcPr>
          <w:p w14:paraId="3AC8DE37">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31</w:t>
            </w:r>
          </w:p>
        </w:tc>
        <w:tc>
          <w:tcPr>
            <w:tcW w:w="2276" w:type="dxa"/>
            <w:noWrap w:val="0"/>
            <w:vAlign w:val="center"/>
          </w:tcPr>
          <w:p w14:paraId="38743715">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高校各级党组织和广大党员在网络空间发挥作用研究</w:t>
            </w:r>
          </w:p>
        </w:tc>
        <w:tc>
          <w:tcPr>
            <w:tcW w:w="4155" w:type="dxa"/>
            <w:noWrap w:val="0"/>
            <w:vAlign w:val="center"/>
          </w:tcPr>
          <w:p w14:paraId="15ACDDE2">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333333"/>
                <w:sz w:val="24"/>
                <w:szCs w:val="24"/>
                <w:lang w:eastAsia="zh-CN"/>
              </w:rPr>
              <w:t>落实</w:t>
            </w:r>
            <w:r>
              <w:rPr>
                <w:rFonts w:hint="eastAsia" w:ascii="仿宋_GB2312" w:hAnsi="仿宋_GB2312" w:eastAsia="仿宋_GB2312" w:cs="仿宋_GB2312"/>
                <w:sz w:val="24"/>
                <w:szCs w:val="24"/>
                <w:lang w:eastAsia="zh-CN"/>
              </w:rPr>
              <w:t>中组部《关于党组织和党员在网络空间发挥作用的意见》，研究高校党建紧跟时代，推动发挥党组织引领力与党员先锋模范作用，营造清朗校园网络空间，强化高校意识形态阵地建设。</w:t>
            </w:r>
          </w:p>
        </w:tc>
        <w:tc>
          <w:tcPr>
            <w:tcW w:w="3679" w:type="dxa"/>
            <w:noWrap w:val="0"/>
            <w:vAlign w:val="center"/>
          </w:tcPr>
          <w:p w14:paraId="08EEE775">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剖析高校网络空间现状，明确党组织和党员面临的机遇与挑战。从强化网络思政教育、创新党组织网络活动形式、提升党员网络素养等方面，探索发挥作用的有效策略。</w:t>
            </w:r>
          </w:p>
        </w:tc>
        <w:tc>
          <w:tcPr>
            <w:tcW w:w="1399" w:type="dxa"/>
            <w:vMerge w:val="restart"/>
            <w:noWrap w:val="0"/>
            <w:vAlign w:val="center"/>
          </w:tcPr>
          <w:p w14:paraId="1AE02628">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020-37627553</w:t>
            </w:r>
          </w:p>
        </w:tc>
        <w:tc>
          <w:tcPr>
            <w:tcW w:w="1378" w:type="dxa"/>
            <w:vMerge w:val="restart"/>
            <w:noWrap w:val="0"/>
            <w:vAlign w:val="center"/>
          </w:tcPr>
          <w:p w14:paraId="7121849C">
            <w:pPr>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组织处</w:t>
            </w:r>
          </w:p>
        </w:tc>
      </w:tr>
      <w:tr w14:paraId="2281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5DAC7472">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32</w:t>
            </w:r>
          </w:p>
        </w:tc>
        <w:tc>
          <w:tcPr>
            <w:tcW w:w="2276" w:type="dxa"/>
            <w:noWrap w:val="0"/>
            <w:vAlign w:val="center"/>
          </w:tcPr>
          <w:p w14:paraId="10F51E85">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高校党员基本培训全覆盖研究</w:t>
            </w:r>
          </w:p>
        </w:tc>
        <w:tc>
          <w:tcPr>
            <w:tcW w:w="4155" w:type="dxa"/>
            <w:noWrap w:val="0"/>
            <w:vAlign w:val="center"/>
          </w:tcPr>
          <w:p w14:paraId="51047896">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落实教育部和省委组织部工作部署，研究完善高校党员基本培训制度机制，提升师生党员整体素质，增强党组织凝聚力与战斗力，为高校党建和教育事业发展提供有力支撑。</w:t>
            </w:r>
          </w:p>
        </w:tc>
        <w:tc>
          <w:tcPr>
            <w:tcW w:w="3679" w:type="dxa"/>
            <w:noWrap w:val="0"/>
            <w:vAlign w:val="center"/>
          </w:tcPr>
          <w:p w14:paraId="4F6D2217">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调研高校师生党员基本培训现状，找出覆盖难点。理论教育上，推动习近平新时代中国特色社会主义思想入脑入心；党性教育方面，开展理想信念等多元教育，从优化培训内容、创新培训方式、完善培训保障等达成全覆盖目标。</w:t>
            </w:r>
          </w:p>
        </w:tc>
        <w:tc>
          <w:tcPr>
            <w:tcW w:w="1399" w:type="dxa"/>
            <w:vMerge w:val="continue"/>
            <w:noWrap w:val="0"/>
            <w:vAlign w:val="center"/>
          </w:tcPr>
          <w:p w14:paraId="3444348D">
            <w:pPr>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7AD682E9">
            <w:pPr>
              <w:spacing w:line="0" w:lineRule="atLeast"/>
              <w:jc w:val="center"/>
              <w:rPr>
                <w:rFonts w:hint="eastAsia" w:ascii="仿宋_GB2312" w:hAnsi="仿宋_GB2312" w:eastAsia="仿宋_GB2312" w:cs="仿宋_GB2312"/>
                <w:sz w:val="24"/>
                <w:szCs w:val="24"/>
                <w:lang w:eastAsia="zh-CN"/>
              </w:rPr>
            </w:pPr>
          </w:p>
        </w:tc>
      </w:tr>
      <w:tr w14:paraId="6D4D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510CDC85">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33</w:t>
            </w:r>
          </w:p>
        </w:tc>
        <w:tc>
          <w:tcPr>
            <w:tcW w:w="2276" w:type="dxa"/>
            <w:noWrap w:val="0"/>
            <w:vAlign w:val="center"/>
          </w:tcPr>
          <w:p w14:paraId="0E77FD2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高校党校教育培训体系构建研究</w:t>
            </w:r>
          </w:p>
        </w:tc>
        <w:tc>
          <w:tcPr>
            <w:tcW w:w="4155" w:type="dxa"/>
            <w:noWrap w:val="0"/>
            <w:vAlign w:val="center"/>
          </w:tcPr>
          <w:p w14:paraId="0E53FD09">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落实省委组织部工作要点部署，构建完善教育培训体系，提升党员教育质量，培养高素质党员队伍，助力高校落实立德树人根本任务，推动党建与教育教学深度融合。</w:t>
            </w:r>
          </w:p>
        </w:tc>
        <w:tc>
          <w:tcPr>
            <w:tcW w:w="3679" w:type="dxa"/>
            <w:noWrap w:val="0"/>
            <w:vAlign w:val="center"/>
          </w:tcPr>
          <w:p w14:paraId="35984C02">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梳理现行高校党校教育培训体系问题，从课程体系、师资队伍、教学管理、考核评价等维度构建体系。开发特色课程，加强师资培养，运用信息化手段提升教学管理水平，建立科学考核机制 。</w:t>
            </w:r>
          </w:p>
        </w:tc>
        <w:tc>
          <w:tcPr>
            <w:tcW w:w="1399" w:type="dxa"/>
            <w:vMerge w:val="continue"/>
            <w:noWrap w:val="0"/>
            <w:vAlign w:val="center"/>
          </w:tcPr>
          <w:p w14:paraId="283E1D48">
            <w:pPr>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6B3FC180">
            <w:pPr>
              <w:spacing w:line="0" w:lineRule="atLeast"/>
              <w:jc w:val="center"/>
              <w:rPr>
                <w:rFonts w:hint="eastAsia" w:ascii="仿宋_GB2312" w:hAnsi="仿宋_GB2312" w:eastAsia="仿宋_GB2312" w:cs="仿宋_GB2312"/>
                <w:sz w:val="24"/>
                <w:szCs w:val="24"/>
                <w:lang w:eastAsia="zh-CN"/>
              </w:rPr>
            </w:pPr>
          </w:p>
        </w:tc>
      </w:tr>
      <w:tr w14:paraId="624E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0EEDDE5">
            <w:pPr>
              <w:numPr>
                <w:ilvl w:val="0"/>
                <w:numId w:val="0"/>
              </w:numPr>
              <w:autoSpaceDE/>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34</w:t>
            </w:r>
          </w:p>
        </w:tc>
        <w:tc>
          <w:tcPr>
            <w:tcW w:w="2276" w:type="dxa"/>
            <w:noWrap w:val="0"/>
            <w:vAlign w:val="center"/>
          </w:tcPr>
          <w:p w14:paraId="58099B26">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教育现代化背景下学校食堂运营模式创新与监管机制优化研究</w:t>
            </w:r>
          </w:p>
        </w:tc>
        <w:tc>
          <w:tcPr>
            <w:tcW w:w="4155" w:type="dxa"/>
            <w:noWrap w:val="0"/>
            <w:vAlign w:val="center"/>
          </w:tcPr>
          <w:p w14:paraId="4B1961BF">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在教育现代化进程中，食堂作为学校后勤服务的重要组成部分，其运营模式与监管机制直接关系到师生的饮食安全与身体健康。本研究旨在探索学校食堂的创新运营模式，并优化监管机制，以提升学校食品安全保障水平，确保校园饮食安全。</w:t>
            </w:r>
          </w:p>
        </w:tc>
        <w:tc>
          <w:tcPr>
            <w:tcW w:w="3679" w:type="dxa"/>
            <w:noWrap w:val="0"/>
            <w:vAlign w:val="center"/>
          </w:tcPr>
          <w:p w14:paraId="414420D2">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摸清当前学校食堂运营现状，分析中各种运营模式中存在的问题与挑战，研究其在市场化运作下的效率提升与成本控制策略。探讨如何通过引入先进管理理念、技术应用（如智能化管理系统）及优化服务流程，创新社会化食堂运营模式。同时，研究建立科学有效的监管机制，确保食品安全与服务质量，形成可复制推广的社会化食堂运营与监管新模式。</w:t>
            </w:r>
          </w:p>
        </w:tc>
        <w:tc>
          <w:tcPr>
            <w:tcW w:w="1399" w:type="dxa"/>
            <w:vMerge w:val="restart"/>
            <w:noWrap w:val="0"/>
            <w:vAlign w:val="center"/>
          </w:tcPr>
          <w:p w14:paraId="4F248714">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020-37627115</w:t>
            </w:r>
          </w:p>
        </w:tc>
        <w:tc>
          <w:tcPr>
            <w:tcW w:w="1378" w:type="dxa"/>
            <w:vMerge w:val="restart"/>
            <w:noWrap w:val="0"/>
            <w:vAlign w:val="center"/>
          </w:tcPr>
          <w:p w14:paraId="49690BA4">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学校后勤管理处</w:t>
            </w:r>
          </w:p>
        </w:tc>
      </w:tr>
      <w:tr w14:paraId="1A18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B8D0409">
            <w:pPr>
              <w:numPr>
                <w:ilvl w:val="0"/>
                <w:numId w:val="0"/>
              </w:numPr>
              <w:autoSpaceDE/>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5</w:t>
            </w:r>
          </w:p>
        </w:tc>
        <w:tc>
          <w:tcPr>
            <w:tcW w:w="2276" w:type="dxa"/>
            <w:noWrap w:val="0"/>
            <w:vAlign w:val="center"/>
          </w:tcPr>
          <w:p w14:paraId="63852911">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新时代教育治理现代化视角下的中小学校服管理规范化发展研究</w:t>
            </w:r>
          </w:p>
        </w:tc>
        <w:tc>
          <w:tcPr>
            <w:tcW w:w="4155" w:type="dxa"/>
            <w:noWrap w:val="0"/>
            <w:vAlign w:val="center"/>
          </w:tcPr>
          <w:p w14:paraId="170255D2">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在新时代教育治理现代化的背景下，中小学校服不仅是学生身份的象征，也是校园文化的重要组成部分。本研究旨在探索校服管理如何既保持规范化，又能减轻学校、家长和学生负担，促进校服文化的健康发展。</w:t>
            </w:r>
          </w:p>
        </w:tc>
        <w:tc>
          <w:tcPr>
            <w:tcW w:w="3679" w:type="dxa"/>
            <w:noWrap w:val="0"/>
            <w:vAlign w:val="center"/>
          </w:tcPr>
          <w:p w14:paraId="081F1D23">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分析当前中小学校服管理的现状与问题，研究校服设计、选用采购、发放、使用、日常管理等环节的规范化流程，同时了解《关于加强中小学生校服管理工作的指导意见》实际执行情况，提出校服管理规范化发展的优化策略和实施路径。</w:t>
            </w:r>
          </w:p>
        </w:tc>
        <w:tc>
          <w:tcPr>
            <w:tcW w:w="1399" w:type="dxa"/>
            <w:vMerge w:val="continue"/>
            <w:noWrap w:val="0"/>
            <w:vAlign w:val="center"/>
          </w:tcPr>
          <w:p w14:paraId="6A489D88">
            <w:pPr>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5BBA3182">
            <w:pPr>
              <w:autoSpaceDE/>
              <w:autoSpaceDN/>
              <w:spacing w:line="0" w:lineRule="atLeast"/>
              <w:jc w:val="center"/>
              <w:rPr>
                <w:rFonts w:hint="eastAsia" w:ascii="仿宋_GB2312" w:hAnsi="仿宋_GB2312" w:eastAsia="仿宋_GB2312" w:cs="仿宋_GB2312"/>
                <w:kern w:val="2"/>
                <w:sz w:val="24"/>
                <w:szCs w:val="24"/>
                <w:lang w:eastAsia="zh-CN"/>
              </w:rPr>
            </w:pPr>
          </w:p>
        </w:tc>
      </w:tr>
      <w:tr w14:paraId="12E7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C50D940">
            <w:pPr>
              <w:numPr>
                <w:ilvl w:val="0"/>
                <w:numId w:val="0"/>
              </w:numPr>
              <w:autoSpaceDE/>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6</w:t>
            </w:r>
          </w:p>
        </w:tc>
        <w:tc>
          <w:tcPr>
            <w:tcW w:w="2276" w:type="dxa"/>
            <w:noWrap w:val="0"/>
            <w:vAlign w:val="center"/>
          </w:tcPr>
          <w:p w14:paraId="319E1D32">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新时代高校学生宿舍管理与育人互动创新模式研究</w:t>
            </w:r>
          </w:p>
        </w:tc>
        <w:tc>
          <w:tcPr>
            <w:tcW w:w="4155" w:type="dxa"/>
            <w:noWrap w:val="0"/>
            <w:vAlign w:val="center"/>
          </w:tcPr>
          <w:p w14:paraId="435D03E6">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高校学生宿舍是学生学习与生活的重要平台，也是高校坚持全员全过程全方位育人的重要载体之一。探索高校学生宿舍管理与育人工作进一步融合的新途径，有利于高校宿舍实现有效管理、实现育人功能，促进学生全面发展。</w:t>
            </w:r>
          </w:p>
        </w:tc>
        <w:tc>
          <w:tcPr>
            <w:tcW w:w="3679" w:type="dxa"/>
            <w:noWrap w:val="0"/>
            <w:vAlign w:val="center"/>
          </w:tcPr>
          <w:p w14:paraId="12BE836B">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分析当前高校学生宿舍管理的现状与问题，尤其是随着时代发展出现的新的问题和挑战，通过对高校学生宿舍管理问题的深入研究，探寻解决办法和路径，帮助高校提升学生宿舍的教育水平、管理水平和服务水平</w:t>
            </w:r>
          </w:p>
        </w:tc>
        <w:tc>
          <w:tcPr>
            <w:tcW w:w="1399" w:type="dxa"/>
            <w:vMerge w:val="restart"/>
            <w:noWrap w:val="0"/>
            <w:vAlign w:val="center"/>
          </w:tcPr>
          <w:p w14:paraId="6E387128">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020-37629529</w:t>
            </w:r>
          </w:p>
        </w:tc>
        <w:tc>
          <w:tcPr>
            <w:tcW w:w="1378" w:type="dxa"/>
            <w:vMerge w:val="continue"/>
            <w:noWrap w:val="0"/>
            <w:vAlign w:val="center"/>
          </w:tcPr>
          <w:p w14:paraId="70541215">
            <w:pPr>
              <w:autoSpaceDE/>
              <w:autoSpaceDN/>
              <w:spacing w:line="0" w:lineRule="atLeast"/>
              <w:jc w:val="center"/>
              <w:rPr>
                <w:rFonts w:hint="eastAsia" w:ascii="仿宋_GB2312" w:hAnsi="仿宋_GB2312" w:eastAsia="仿宋_GB2312" w:cs="仿宋_GB2312"/>
                <w:kern w:val="2"/>
                <w:sz w:val="24"/>
                <w:szCs w:val="24"/>
                <w:lang w:eastAsia="zh-CN"/>
              </w:rPr>
            </w:pPr>
          </w:p>
        </w:tc>
      </w:tr>
      <w:tr w14:paraId="0D9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BCD7668">
            <w:pPr>
              <w:numPr>
                <w:ilvl w:val="0"/>
                <w:numId w:val="0"/>
              </w:numPr>
              <w:autoSpaceDE/>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7</w:t>
            </w:r>
          </w:p>
        </w:tc>
        <w:tc>
          <w:tcPr>
            <w:tcW w:w="2276" w:type="dxa"/>
            <w:noWrap w:val="0"/>
            <w:vAlign w:val="center"/>
          </w:tcPr>
          <w:p w14:paraId="1BBDF617">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“美丽中国 绿美广东”建设背景下校园能源管理体系规范搭建与有序发展研究</w:t>
            </w:r>
          </w:p>
        </w:tc>
        <w:tc>
          <w:tcPr>
            <w:tcW w:w="4155" w:type="dxa"/>
            <w:noWrap w:val="0"/>
            <w:vAlign w:val="center"/>
          </w:tcPr>
          <w:p w14:paraId="38458902">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学校集教学、科研和生活于一体，是人口高密度聚集区，也是源资源消耗大户。研究如何有效搭建校园能源管理体系，可促进学校更高效进行节能管理和技术节能改造，最大限度挖掘高校节能空间，为节能型社会建设做出贡献。</w:t>
            </w:r>
          </w:p>
        </w:tc>
        <w:tc>
          <w:tcPr>
            <w:tcW w:w="3679" w:type="dxa"/>
            <w:noWrap w:val="0"/>
            <w:vAlign w:val="center"/>
          </w:tcPr>
          <w:p w14:paraId="02F41773">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分析目标学校校园能源管理的现状、不足和发展方向，以节能减排为出发点，着重于节电、节能、节水等，阐述校园能源管理体系建设的必要性，从制度建设、组织建设、硬件配置、日常管理等方面，对校园能源管理体系建设提出要求。</w:t>
            </w:r>
          </w:p>
        </w:tc>
        <w:tc>
          <w:tcPr>
            <w:tcW w:w="1399" w:type="dxa"/>
            <w:vMerge w:val="continue"/>
            <w:noWrap w:val="0"/>
            <w:vAlign w:val="center"/>
          </w:tcPr>
          <w:p w14:paraId="481B40A1">
            <w:pPr>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2DA3DE7A">
            <w:pPr>
              <w:autoSpaceDE/>
              <w:autoSpaceDN/>
              <w:spacing w:line="0" w:lineRule="atLeast"/>
              <w:jc w:val="center"/>
              <w:rPr>
                <w:rFonts w:hint="eastAsia" w:ascii="仿宋_GB2312" w:hAnsi="仿宋_GB2312" w:eastAsia="仿宋_GB2312" w:cs="仿宋_GB2312"/>
                <w:kern w:val="2"/>
                <w:sz w:val="24"/>
                <w:szCs w:val="24"/>
                <w:lang w:eastAsia="zh-CN"/>
              </w:rPr>
            </w:pPr>
          </w:p>
        </w:tc>
      </w:tr>
      <w:tr w14:paraId="7CA8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4E159BBE">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8</w:t>
            </w:r>
          </w:p>
        </w:tc>
        <w:tc>
          <w:tcPr>
            <w:tcW w:w="2276" w:type="dxa"/>
            <w:noWrap w:val="0"/>
            <w:vAlign w:val="center"/>
          </w:tcPr>
          <w:p w14:paraId="6374BA48">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广东高校就业质量综合评价研究</w:t>
            </w:r>
          </w:p>
        </w:tc>
        <w:tc>
          <w:tcPr>
            <w:tcW w:w="4155" w:type="dxa"/>
            <w:noWrap w:val="0"/>
            <w:vAlign w:val="center"/>
          </w:tcPr>
          <w:p w14:paraId="71CFC1E2">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就业质量是高校办学质量的重要体现，开展相关研究能为政府制定和优化就业政策提供科学依据，科学的评价结果能作为高校教育教学和学科建设评估、“双一流”建设成效评价等重要因素。</w:t>
            </w:r>
          </w:p>
        </w:tc>
        <w:tc>
          <w:tcPr>
            <w:tcW w:w="3679" w:type="dxa"/>
            <w:noWrap w:val="0"/>
            <w:vAlign w:val="center"/>
          </w:tcPr>
          <w:p w14:paraId="21A1A5A8">
            <w:pPr>
              <w:pStyle w:val="7"/>
              <w:shd w:val="clear" w:color="auto" w:fill="FFFFFF"/>
              <w:autoSpaceDE/>
              <w:autoSpaceDN/>
              <w:spacing w:before="0" w:beforeAutospacing="0" w:after="0" w:afterAutospacing="0" w:line="0" w:lineRule="atLeast"/>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bidi="ar-SA"/>
              </w:rPr>
              <w:t>创新就业质量评价工具，开展高校毕业生就业状况跟踪调查。探索分级分类开展广东高校毕业生就业工作综合评价实施路径与有效方法。</w:t>
            </w:r>
          </w:p>
        </w:tc>
        <w:tc>
          <w:tcPr>
            <w:tcW w:w="1399" w:type="dxa"/>
            <w:vMerge w:val="restart"/>
            <w:noWrap w:val="0"/>
            <w:vAlign w:val="center"/>
          </w:tcPr>
          <w:p w14:paraId="4D0ACD9E">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020-37626415</w:t>
            </w:r>
          </w:p>
        </w:tc>
        <w:tc>
          <w:tcPr>
            <w:tcW w:w="1378" w:type="dxa"/>
            <w:vMerge w:val="restart"/>
            <w:noWrap w:val="0"/>
            <w:vAlign w:val="center"/>
          </w:tcPr>
          <w:p w14:paraId="5C747B15">
            <w:pPr>
              <w:autoSpaceDE/>
              <w:autoSpaceDN/>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学生就业创业处</w:t>
            </w:r>
          </w:p>
        </w:tc>
      </w:tr>
      <w:tr w14:paraId="567A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04459FFD">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9</w:t>
            </w:r>
          </w:p>
        </w:tc>
        <w:tc>
          <w:tcPr>
            <w:tcW w:w="2276" w:type="dxa"/>
            <w:noWrap w:val="0"/>
            <w:vAlign w:val="center"/>
          </w:tcPr>
          <w:p w14:paraId="6D1650D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人工智能发展对大学生就业的影响研究</w:t>
            </w:r>
          </w:p>
        </w:tc>
        <w:tc>
          <w:tcPr>
            <w:tcW w:w="4155" w:type="dxa"/>
            <w:noWrap w:val="0"/>
            <w:vAlign w:val="center"/>
          </w:tcPr>
          <w:p w14:paraId="148CC244">
            <w:pPr>
              <w:widowControl/>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人工智能作为引领新一轮科技革命和产业变革的战略性技术，深刻改变人类生产生活方式。对大学生就业的影响是双重的，既创造新兴就业岗位，又对传统就业岗位造成冲击，对其研究有助于提前布局学科专业规划和指导大学生就业。</w:t>
            </w:r>
          </w:p>
        </w:tc>
        <w:tc>
          <w:tcPr>
            <w:tcW w:w="3679" w:type="dxa"/>
            <w:noWrap w:val="0"/>
            <w:vAlign w:val="center"/>
          </w:tcPr>
          <w:p w14:paraId="5A2DFBAB">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分析人工智能对大学生就业带来的机遇和挑战，提出积极应对策略和政策建议，促进大学生高质量充分就业。</w:t>
            </w:r>
          </w:p>
        </w:tc>
        <w:tc>
          <w:tcPr>
            <w:tcW w:w="1399" w:type="dxa"/>
            <w:vMerge w:val="continue"/>
            <w:noWrap w:val="0"/>
            <w:vAlign w:val="center"/>
          </w:tcPr>
          <w:p w14:paraId="58699F94">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334CB32C">
            <w:pPr>
              <w:autoSpaceDE/>
              <w:autoSpaceDN/>
              <w:spacing w:line="0" w:lineRule="atLeast"/>
              <w:jc w:val="center"/>
              <w:rPr>
                <w:rFonts w:hint="eastAsia" w:ascii="仿宋_GB2312" w:hAnsi="仿宋_GB2312" w:eastAsia="仿宋_GB2312" w:cs="仿宋_GB2312"/>
                <w:sz w:val="24"/>
                <w:szCs w:val="24"/>
                <w:lang w:eastAsia="zh-CN"/>
              </w:rPr>
            </w:pPr>
          </w:p>
        </w:tc>
      </w:tr>
      <w:tr w14:paraId="204C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64C20C29">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40</w:t>
            </w:r>
          </w:p>
        </w:tc>
        <w:tc>
          <w:tcPr>
            <w:tcW w:w="2276" w:type="dxa"/>
            <w:noWrap w:val="0"/>
            <w:vAlign w:val="center"/>
          </w:tcPr>
          <w:p w14:paraId="535914A4">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广东省国家级创新创业学院和国家级创新创业教育实践基地建设成效研究</w:t>
            </w:r>
          </w:p>
        </w:tc>
        <w:tc>
          <w:tcPr>
            <w:tcW w:w="4155" w:type="dxa"/>
            <w:noWrap w:val="0"/>
            <w:vAlign w:val="center"/>
          </w:tcPr>
          <w:p w14:paraId="08775AC8">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对我省国家级创新创业学院和国家级创新创业教育实践基地建设成效研究，有助于发挥好辐射带动作用，健全创新创业人才培养机制，推动高校创新创业教育特色化差异化发展。</w:t>
            </w:r>
          </w:p>
        </w:tc>
        <w:tc>
          <w:tcPr>
            <w:tcW w:w="3679" w:type="dxa"/>
            <w:noWrap w:val="0"/>
            <w:vAlign w:val="center"/>
          </w:tcPr>
          <w:p w14:paraId="7878050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聚焦创新教育和拔尖创业人才培养，对我省6个国家级创新创业学院和6个国家级创新创业教育实践基地建设情况进行全面调研，梳理重点举措，总结提炼建设成效，分析建设中存在的主要困难和突出问题，剖析原因，提出改进建议。</w:t>
            </w:r>
          </w:p>
        </w:tc>
        <w:tc>
          <w:tcPr>
            <w:tcW w:w="1399" w:type="dxa"/>
            <w:vMerge w:val="continue"/>
            <w:noWrap w:val="0"/>
            <w:vAlign w:val="center"/>
          </w:tcPr>
          <w:p w14:paraId="73925E8A">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6EF4E554">
            <w:pPr>
              <w:autoSpaceDE/>
              <w:autoSpaceDN/>
              <w:spacing w:line="0" w:lineRule="atLeast"/>
              <w:jc w:val="center"/>
              <w:rPr>
                <w:rFonts w:hint="eastAsia" w:ascii="仿宋_GB2312" w:hAnsi="仿宋_GB2312" w:eastAsia="仿宋_GB2312" w:cs="仿宋_GB2312"/>
                <w:sz w:val="24"/>
                <w:szCs w:val="24"/>
                <w:lang w:eastAsia="zh-CN"/>
              </w:rPr>
            </w:pPr>
          </w:p>
        </w:tc>
      </w:tr>
      <w:tr w14:paraId="278D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E6785AA">
            <w:pPr>
              <w:widowControl/>
              <w:numPr>
                <w:ilvl w:val="0"/>
                <w:numId w:val="0"/>
              </w:numPr>
              <w:spacing w:line="0" w:lineRule="atLeast"/>
              <w:jc w:val="center"/>
              <w:textAlignment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41</w:t>
            </w:r>
          </w:p>
        </w:tc>
        <w:tc>
          <w:tcPr>
            <w:tcW w:w="2276" w:type="dxa"/>
            <w:noWrap w:val="0"/>
            <w:vAlign w:val="center"/>
          </w:tcPr>
          <w:p w14:paraId="2E3B4C0F">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统一命题与分类选拔：研究生招生考试改革背景下学术学位与专业学位差异化选拔机制研究</w:t>
            </w:r>
          </w:p>
        </w:tc>
        <w:tc>
          <w:tcPr>
            <w:tcW w:w="4155" w:type="dxa"/>
            <w:noWrap w:val="0"/>
            <w:vAlign w:val="center"/>
          </w:tcPr>
          <w:p w14:paraId="517F1D09">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当前，研究生招生考试正从自命题逐步转向全国统一命题，以增强公平性与科学性。鉴于学术、专业学位培养目标不同，本研究聚焦统一命题趋势下，构建分类选拔机制，突出两类人才特质，契合国家招生政策导向。</w:t>
            </w:r>
          </w:p>
        </w:tc>
        <w:tc>
          <w:tcPr>
            <w:tcW w:w="3679" w:type="dxa"/>
            <w:noWrap w:val="0"/>
            <w:vAlign w:val="center"/>
          </w:tcPr>
          <w:p w14:paraId="49CDA472">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1.分析教育部2025年硕士招生管理规定中统一命题与分类选拔要求，探究对招生模式的影响；</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2.剖析当前学硕、专硕招生初复试同质化问题；</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3.借鉴欧美国家分类选拔经验，考量其适用性；</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4.提出优化建议，包括学硕强化科研考核、专硕引入行业专家复试等，探索开展省级联合命题。</w:t>
            </w:r>
          </w:p>
        </w:tc>
        <w:tc>
          <w:tcPr>
            <w:tcW w:w="1399" w:type="dxa"/>
            <w:vMerge w:val="restart"/>
            <w:noWrap w:val="0"/>
            <w:vAlign w:val="center"/>
          </w:tcPr>
          <w:p w14:paraId="2B2B5FC1">
            <w:pPr>
              <w:widowControl/>
              <w:spacing w:line="0" w:lineRule="atLeast"/>
              <w:jc w:val="center"/>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020-38627814</w:t>
            </w:r>
          </w:p>
        </w:tc>
        <w:tc>
          <w:tcPr>
            <w:tcW w:w="1378" w:type="dxa"/>
            <w:vMerge w:val="restart"/>
            <w:noWrap w:val="0"/>
            <w:vAlign w:val="center"/>
          </w:tcPr>
          <w:p w14:paraId="12A968B0">
            <w:pPr>
              <w:autoSpaceDE/>
              <w:autoSpaceDN/>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教育考试院</w:t>
            </w:r>
          </w:p>
          <w:p w14:paraId="51DAFDD9">
            <w:pPr>
              <w:autoSpaceDE/>
              <w:autoSpaceDN/>
              <w:spacing w:line="0" w:lineRule="atLeast"/>
              <w:jc w:val="center"/>
              <w:rPr>
                <w:rFonts w:hint="eastAsia" w:ascii="仿宋_GB2312" w:hAnsi="仿宋_GB2312" w:eastAsia="仿宋_GB2312" w:cs="仿宋_GB2312"/>
                <w:kern w:val="2"/>
                <w:sz w:val="24"/>
                <w:szCs w:val="24"/>
                <w:lang w:eastAsia="zh-CN"/>
              </w:rPr>
            </w:pPr>
          </w:p>
          <w:p w14:paraId="32900B19">
            <w:pPr>
              <w:autoSpaceDE/>
              <w:autoSpaceDN/>
              <w:spacing w:line="0" w:lineRule="atLeast"/>
              <w:jc w:val="center"/>
              <w:rPr>
                <w:rFonts w:hint="eastAsia" w:ascii="仿宋_GB2312" w:hAnsi="仿宋_GB2312" w:eastAsia="仿宋_GB2312" w:cs="仿宋_GB2312"/>
                <w:kern w:val="2"/>
                <w:sz w:val="24"/>
                <w:szCs w:val="24"/>
                <w:lang w:eastAsia="zh-CN"/>
              </w:rPr>
            </w:pPr>
          </w:p>
          <w:p w14:paraId="0724222D">
            <w:pPr>
              <w:autoSpaceDE/>
              <w:autoSpaceDN/>
              <w:spacing w:line="0" w:lineRule="atLeast"/>
              <w:jc w:val="center"/>
              <w:rPr>
                <w:rFonts w:hint="eastAsia" w:ascii="仿宋_GB2312" w:hAnsi="仿宋_GB2312" w:eastAsia="仿宋_GB2312" w:cs="仿宋_GB2312"/>
                <w:kern w:val="2"/>
                <w:sz w:val="24"/>
                <w:szCs w:val="24"/>
                <w:lang w:eastAsia="zh-CN"/>
              </w:rPr>
            </w:pPr>
          </w:p>
        </w:tc>
      </w:tr>
      <w:tr w14:paraId="6840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3433F15">
            <w:pPr>
              <w:widowControl/>
              <w:numPr>
                <w:ilvl w:val="0"/>
                <w:numId w:val="0"/>
              </w:numPr>
              <w:spacing w:line="0" w:lineRule="atLeast"/>
              <w:jc w:val="center"/>
              <w:textAlignment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42</w:t>
            </w:r>
          </w:p>
        </w:tc>
        <w:tc>
          <w:tcPr>
            <w:tcW w:w="2276" w:type="dxa"/>
            <w:noWrap w:val="0"/>
            <w:vAlign w:val="center"/>
          </w:tcPr>
          <w:p w14:paraId="2560996B">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中高职贯通（五年一贯制）考试招生模式探索研究</w:t>
            </w:r>
          </w:p>
        </w:tc>
        <w:tc>
          <w:tcPr>
            <w:tcW w:w="4155" w:type="dxa"/>
            <w:noWrap w:val="0"/>
            <w:vAlign w:val="center"/>
          </w:tcPr>
          <w:p w14:paraId="11D133F2">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当前，五年一贯制实行全省统一命题、组考、招生录取的模式，存在效率低、学生报道率低、资源重复浪费等问题。开展考试招生模式探索，有利于提高资源利用率和工作效率，更好地满足院校和考生的报读需求。</w:t>
            </w:r>
          </w:p>
        </w:tc>
        <w:tc>
          <w:tcPr>
            <w:tcW w:w="3679" w:type="dxa"/>
            <w:noWrap w:val="0"/>
            <w:vAlign w:val="center"/>
          </w:tcPr>
          <w:p w14:paraId="2C04DE36">
            <w:pPr>
              <w:widowControl/>
              <w:spacing w:line="0" w:lineRule="atLeast"/>
              <w:jc w:val="both"/>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sz w:val="24"/>
                <w:szCs w:val="24"/>
                <w:lang w:eastAsia="zh-CN" w:bidi="ar"/>
              </w:rPr>
              <w:t>1.研究分析近年省内外五年一贯制考试招生录取政策；</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2.剖析我省当前考试招生工作模式存在的问题及其原因；</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3.提出优化和改进的工作建议。</w:t>
            </w:r>
          </w:p>
        </w:tc>
        <w:tc>
          <w:tcPr>
            <w:tcW w:w="1399" w:type="dxa"/>
            <w:vMerge w:val="continue"/>
            <w:noWrap w:val="0"/>
            <w:vAlign w:val="center"/>
          </w:tcPr>
          <w:p w14:paraId="6C5EFB66">
            <w:pPr>
              <w:widowControl/>
              <w:spacing w:line="0" w:lineRule="atLeast"/>
              <w:jc w:val="center"/>
              <w:textAlignment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6D2B1484">
            <w:pPr>
              <w:autoSpaceDE/>
              <w:autoSpaceDN/>
              <w:spacing w:line="0" w:lineRule="atLeast"/>
              <w:jc w:val="center"/>
              <w:rPr>
                <w:rFonts w:hint="eastAsia" w:ascii="仿宋_GB2312" w:hAnsi="仿宋_GB2312" w:eastAsia="仿宋_GB2312" w:cs="仿宋_GB2312"/>
                <w:kern w:val="2"/>
                <w:sz w:val="24"/>
                <w:szCs w:val="24"/>
                <w:lang w:eastAsia="zh-CN"/>
              </w:rPr>
            </w:pPr>
          </w:p>
        </w:tc>
      </w:tr>
      <w:tr w14:paraId="56FA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B7CA79C">
            <w:pPr>
              <w:numPr>
                <w:ilvl w:val="0"/>
                <w:numId w:val="0"/>
              </w:numPr>
              <w:autoSpaceDE/>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43</w:t>
            </w:r>
          </w:p>
        </w:tc>
        <w:tc>
          <w:tcPr>
            <w:tcW w:w="2276" w:type="dxa"/>
            <w:noWrap w:val="0"/>
            <w:vAlign w:val="center"/>
          </w:tcPr>
          <w:p w14:paraId="118809A1">
            <w:pPr>
              <w:autoSpaceDE/>
              <w:spacing w:line="0" w:lineRule="atLeast"/>
              <w:jc w:val="both"/>
              <w:rPr>
                <w:rFonts w:hint="eastAsia" w:ascii="仿宋_GB2312" w:hAnsi="仿宋_GB2312" w:eastAsia="仿宋_GB2312" w:cs="仿宋_GB2312"/>
                <w:bCs/>
                <w:color w:val="000000"/>
                <w:sz w:val="24"/>
                <w:szCs w:val="24"/>
                <w:lang w:eastAsia="zh-CN" w:bidi="ar"/>
              </w:rPr>
            </w:pPr>
            <w:r>
              <w:rPr>
                <w:rStyle w:val="11"/>
                <w:rFonts w:hint="eastAsia" w:ascii="仿宋_GB2312" w:hAnsi="仿宋_GB2312" w:eastAsia="仿宋_GB2312" w:cs="仿宋_GB2312"/>
                <w:b w:val="0"/>
                <w:bCs/>
                <w:color w:val="000000"/>
                <w:sz w:val="24"/>
                <w:szCs w:val="24"/>
                <w:shd w:val="clear" w:color="auto" w:fill="auto"/>
                <w:lang w:eastAsia="zh-CN" w:bidi="ar"/>
              </w:rPr>
              <w:t>基于人工智能的教育考试体系改革研究</w:t>
            </w:r>
          </w:p>
        </w:tc>
        <w:tc>
          <w:tcPr>
            <w:tcW w:w="4155" w:type="dxa"/>
            <w:noWrap w:val="0"/>
            <w:vAlign w:val="center"/>
          </w:tcPr>
          <w:p w14:paraId="7BD607BB">
            <w:pPr>
              <w:autoSpaceDE/>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通过大数据和人工智能技术，探索人工智能技术在报名、命题、评卷、评价等环节的创新应用，赋能考务组织全过程，构建科学、精准的教育考试体系，并基于考生画像为师生提供更具针对性的教学学习建议，进一步提升教学质量，为教育考试数智化转型提供技术支撑。</w:t>
            </w:r>
          </w:p>
        </w:tc>
        <w:tc>
          <w:tcPr>
            <w:tcW w:w="3679" w:type="dxa"/>
            <w:noWrap w:val="0"/>
            <w:vAlign w:val="center"/>
          </w:tcPr>
          <w:p w14:paraId="6D46A2D1">
            <w:pPr>
              <w:pStyle w:val="2"/>
              <w:widowControl/>
              <w:numPr>
                <w:ilvl w:val="0"/>
                <w:numId w:val="3"/>
              </w:numPr>
              <w:spacing w:line="0" w:lineRule="atLeast"/>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助力考务。</w:t>
            </w:r>
            <w:r>
              <w:rPr>
                <w:rFonts w:hint="eastAsia" w:ascii="仿宋_GB2312" w:hAnsi="仿宋_GB2312" w:eastAsia="仿宋_GB2312" w:cs="仿宋_GB2312"/>
                <w:color w:val="000000"/>
                <w:sz w:val="24"/>
                <w:szCs w:val="24"/>
              </w:rPr>
              <w:t>建设智能考务问答及客服系统；智能审核报考资格；</w:t>
            </w:r>
            <w:r>
              <w:rPr>
                <w:rFonts w:hint="eastAsia" w:ascii="仿宋_GB2312" w:hAnsi="仿宋_GB2312" w:eastAsia="仿宋_GB2312" w:cs="仿宋_GB2312"/>
                <w:color w:val="000000"/>
                <w:sz w:val="24"/>
                <w:szCs w:val="24"/>
                <w:lang w:val="en-US" w:eastAsia="zh-CN"/>
              </w:rPr>
              <w:t>开发</w:t>
            </w:r>
            <w:r>
              <w:rPr>
                <w:rFonts w:hint="eastAsia" w:ascii="仿宋_GB2312" w:hAnsi="仿宋_GB2312" w:eastAsia="仿宋_GB2312" w:cs="仿宋_GB2312"/>
                <w:color w:val="000000"/>
                <w:sz w:val="24"/>
                <w:szCs w:val="24"/>
              </w:rPr>
              <w:t>明/盲文智能互译系统；</w:t>
            </w:r>
            <w:r>
              <w:rPr>
                <w:rFonts w:hint="eastAsia" w:ascii="仿宋_GB2312" w:hAnsi="仿宋_GB2312" w:eastAsia="仿宋_GB2312" w:cs="仿宋_GB2312"/>
                <w:color w:val="000000"/>
                <w:kern w:val="0"/>
                <w:sz w:val="24"/>
                <w:szCs w:val="24"/>
              </w:rPr>
              <w:t>深化保密室和考场智能巡查应用，优化异常行为识别算法</w:t>
            </w:r>
            <w:r>
              <w:rPr>
                <w:rFonts w:hint="eastAsia" w:ascii="仿宋_GB2312" w:hAnsi="仿宋_GB2312" w:eastAsia="仿宋_GB2312" w:cs="仿宋_GB2312"/>
                <w:color w:val="000000"/>
                <w:sz w:val="24"/>
                <w:szCs w:val="24"/>
              </w:rPr>
              <w:t>等</w:t>
            </w:r>
            <w:r>
              <w:rPr>
                <w:rFonts w:hint="eastAsia" w:ascii="仿宋_GB2312" w:hAnsi="仿宋_GB2312" w:eastAsia="仿宋_GB2312" w:cs="仿宋_GB2312"/>
                <w:color w:val="000000"/>
                <w:kern w:val="0"/>
                <w:sz w:val="24"/>
                <w:szCs w:val="24"/>
              </w:rPr>
              <w:t>。</w:t>
            </w:r>
          </w:p>
          <w:p w14:paraId="21ADB276">
            <w:pPr>
              <w:pStyle w:val="2"/>
              <w:widowControl/>
              <w:numPr>
                <w:ilvl w:val="0"/>
                <w:numId w:val="3"/>
              </w:numPr>
              <w:spacing w:line="0" w:lineRule="atLeast"/>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智能命题。</w:t>
            </w:r>
            <w:r>
              <w:rPr>
                <w:rFonts w:hint="eastAsia" w:ascii="仿宋_GB2312" w:hAnsi="仿宋_GB2312" w:eastAsia="仿宋_GB2312" w:cs="仿宋_GB2312"/>
                <w:color w:val="000000"/>
                <w:sz w:val="24"/>
                <w:szCs w:val="24"/>
              </w:rPr>
              <w:t>研究多学科知识图谱的构建与跨学科关联建模，开发跨学科试题智能生成算法，自动命制不同层次试题。</w:t>
            </w:r>
          </w:p>
          <w:p w14:paraId="08689267">
            <w:pPr>
              <w:pStyle w:val="2"/>
              <w:widowControl/>
              <w:numPr>
                <w:ilvl w:val="0"/>
                <w:numId w:val="3"/>
              </w:numPr>
              <w:spacing w:line="0" w:lineRule="atLeast"/>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优化评价。</w:t>
            </w:r>
            <w:r>
              <w:rPr>
                <w:rFonts w:hint="eastAsia" w:ascii="仿宋_GB2312" w:hAnsi="仿宋_GB2312" w:eastAsia="仿宋_GB2312" w:cs="仿宋_GB2312"/>
                <w:color w:val="000000"/>
                <w:sz w:val="24"/>
                <w:szCs w:val="24"/>
              </w:rPr>
              <w:t>构建试题智能评估模型，自动识别</w:t>
            </w:r>
            <w:r>
              <w:rPr>
                <w:rFonts w:hint="eastAsia" w:ascii="仿宋_GB2312" w:hAnsi="仿宋_GB2312" w:eastAsia="仿宋_GB2312" w:cs="仿宋_GB2312"/>
                <w:color w:val="000000"/>
                <w:sz w:val="24"/>
                <w:szCs w:val="24"/>
                <w:lang w:val="en-US" w:eastAsia="zh-CN"/>
              </w:rPr>
              <w:t>试题水平与质量</w:t>
            </w:r>
            <w:r>
              <w:rPr>
                <w:rFonts w:hint="eastAsia" w:ascii="仿宋_GB2312" w:hAnsi="仿宋_GB2312" w:eastAsia="仿宋_GB2312" w:cs="仿宋_GB2312"/>
                <w:color w:val="000000"/>
                <w:sz w:val="24"/>
                <w:szCs w:val="24"/>
              </w:rPr>
              <w:t>；建立考情数据分析系统，开展多维度组合评价。</w:t>
            </w:r>
          </w:p>
          <w:p w14:paraId="688D3C17">
            <w:pPr>
              <w:pStyle w:val="2"/>
              <w:widowControl/>
              <w:numPr>
                <w:ilvl w:val="0"/>
                <w:numId w:val="3"/>
              </w:numPr>
              <w:spacing w:line="0" w:lineRule="atLeas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rPr>
              <w:t>提升服务。</w:t>
            </w:r>
            <w:r>
              <w:rPr>
                <w:rFonts w:hint="eastAsia" w:ascii="仿宋_GB2312" w:hAnsi="仿宋_GB2312" w:eastAsia="仿宋_GB2312" w:cs="仿宋_GB2312"/>
                <w:color w:val="000000"/>
                <w:sz w:val="24"/>
                <w:szCs w:val="24"/>
              </w:rPr>
              <w:t>开发基于考生画像的个性化备考助手，提供错题诊断、知识点讲解等服务，为教学提供针对性建议。</w:t>
            </w:r>
          </w:p>
        </w:tc>
        <w:tc>
          <w:tcPr>
            <w:tcW w:w="1399" w:type="dxa"/>
            <w:vMerge w:val="restart"/>
            <w:noWrap w:val="0"/>
            <w:vAlign w:val="center"/>
          </w:tcPr>
          <w:p w14:paraId="2E2772D0">
            <w:pPr>
              <w:autoSpaceDE/>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bidi="ar"/>
              </w:rPr>
              <w:t>020-38627913</w:t>
            </w:r>
          </w:p>
        </w:tc>
        <w:tc>
          <w:tcPr>
            <w:tcW w:w="1378" w:type="dxa"/>
            <w:vMerge w:val="continue"/>
            <w:noWrap w:val="0"/>
            <w:vAlign w:val="center"/>
          </w:tcPr>
          <w:p w14:paraId="5C969FC0">
            <w:pPr>
              <w:autoSpaceDE/>
              <w:autoSpaceDN/>
              <w:spacing w:line="0" w:lineRule="atLeast"/>
              <w:jc w:val="center"/>
              <w:rPr>
                <w:rFonts w:hint="eastAsia" w:ascii="仿宋_GB2312" w:hAnsi="仿宋_GB2312" w:eastAsia="仿宋_GB2312" w:cs="仿宋_GB2312"/>
                <w:kern w:val="2"/>
                <w:sz w:val="24"/>
                <w:szCs w:val="24"/>
                <w:lang w:eastAsia="zh-CN"/>
              </w:rPr>
            </w:pPr>
          </w:p>
        </w:tc>
      </w:tr>
      <w:tr w14:paraId="23A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BB3F511">
            <w:pPr>
              <w:numPr>
                <w:ilvl w:val="0"/>
                <w:numId w:val="0"/>
              </w:numPr>
              <w:autoSpaceDE/>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4</w:t>
            </w:r>
          </w:p>
        </w:tc>
        <w:tc>
          <w:tcPr>
            <w:tcW w:w="2276" w:type="dxa"/>
            <w:noWrap w:val="0"/>
            <w:vAlign w:val="center"/>
          </w:tcPr>
          <w:p w14:paraId="22E259D1">
            <w:pPr>
              <w:autoSpaceDE/>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基于国产化算力基座与AI融合的教育考试信息化建设研究</w:t>
            </w:r>
          </w:p>
        </w:tc>
        <w:tc>
          <w:tcPr>
            <w:tcW w:w="4155" w:type="dxa"/>
            <w:noWrap w:val="0"/>
            <w:vAlign w:val="center"/>
          </w:tcPr>
          <w:p w14:paraId="02D234DE">
            <w:pPr>
              <w:autoSpaceDE/>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响应国家教育领域信创改造要求，完成国产化替代，覆盖终端硬件、操作系统、数据库等全产业链，并积极开展业务系统、人工智能大模型及应用向国产环境迁移，构建自主可控的教育技术底座，进一步增强教育考试领域安全风险抵御能力。</w:t>
            </w:r>
          </w:p>
        </w:tc>
        <w:tc>
          <w:tcPr>
            <w:tcW w:w="3679" w:type="dxa"/>
            <w:noWrap w:val="0"/>
            <w:vAlign w:val="center"/>
          </w:tcPr>
          <w:p w14:paraId="0C2A4D14">
            <w:pPr>
              <w:numPr>
                <w:ilvl w:val="0"/>
                <w:numId w:val="4"/>
              </w:numPr>
              <w:spacing w:line="0" w:lineRule="atLeast"/>
              <w:jc w:val="both"/>
              <w:rPr>
                <w:rFonts w:hint="eastAsia" w:ascii="仿宋_GB2312" w:hAnsi="仿宋_GB2312" w:eastAsia="仿宋_GB2312" w:cs="仿宋_GB2312"/>
                <w:b w:val="0"/>
                <w:bCs w:val="0"/>
                <w:color w:val="000000"/>
                <w:sz w:val="24"/>
                <w:szCs w:val="24"/>
                <w:lang w:eastAsia="zh-CN" w:bidi="ar"/>
              </w:rPr>
            </w:pPr>
            <w:r>
              <w:rPr>
                <w:rFonts w:hint="eastAsia" w:ascii="仿宋_GB2312" w:hAnsi="仿宋_GB2312" w:eastAsia="仿宋_GB2312" w:cs="仿宋_GB2312"/>
                <w:b w:val="0"/>
                <w:bCs w:val="0"/>
                <w:color w:val="000000"/>
                <w:sz w:val="24"/>
                <w:szCs w:val="24"/>
                <w:lang w:eastAsia="zh-CN" w:bidi="ar"/>
              </w:rPr>
              <w:t>硬件升级。</w:t>
            </w:r>
            <w:r>
              <w:rPr>
                <w:rFonts w:hint="eastAsia" w:ascii="仿宋_GB2312" w:hAnsi="仿宋_GB2312" w:eastAsia="仿宋_GB2312" w:cs="仿宋_GB2312"/>
                <w:color w:val="000000"/>
                <w:sz w:val="24"/>
                <w:szCs w:val="24"/>
                <w:lang w:eastAsia="zh-CN" w:bidi="ar"/>
              </w:rPr>
              <w:t>探索建立基于国产硬件（芯片、服务器、存储、网络等）的教育考试国产化算力基座。</w:t>
            </w:r>
          </w:p>
          <w:p w14:paraId="49A0C0C0">
            <w:pPr>
              <w:pStyle w:val="2"/>
              <w:widowControl/>
              <w:spacing w:line="0" w:lineRule="atLeas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rPr>
              <w:t>2.软件适配。</w:t>
            </w:r>
            <w:r>
              <w:rPr>
                <w:rFonts w:hint="eastAsia" w:ascii="仿宋_GB2312" w:hAnsi="仿宋_GB2312" w:eastAsia="仿宋_GB2312" w:cs="仿宋_GB2312"/>
                <w:color w:val="000000"/>
                <w:sz w:val="24"/>
                <w:szCs w:val="24"/>
              </w:rPr>
              <w:t>研究适用于教育考试场景的操作系统、数据库、中间件等基础软件的国产化替代方案；制订国产办公套件和各考试业务系统的技术迁</w:t>
            </w:r>
            <w:r>
              <w:rPr>
                <w:rFonts w:hint="eastAsia" w:ascii="仿宋_GB2312" w:hAnsi="仿宋_GB2312" w:eastAsia="仿宋_GB2312" w:cs="仿宋_GB2312"/>
                <w:sz w:val="24"/>
                <w:szCs w:val="24"/>
              </w:rPr>
              <w:t>移方案，保障考试业务和数据平稳过渡；探索国产硬件+国产软件+国产大模型的生态建设。</w:t>
            </w:r>
          </w:p>
        </w:tc>
        <w:tc>
          <w:tcPr>
            <w:tcW w:w="1399" w:type="dxa"/>
            <w:vMerge w:val="continue"/>
            <w:noWrap w:val="0"/>
            <w:vAlign w:val="center"/>
          </w:tcPr>
          <w:p w14:paraId="062C00CB">
            <w:pPr>
              <w:autoSpaceDE/>
              <w:spacing w:line="0" w:lineRule="atLeast"/>
              <w:jc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5AA880FA">
            <w:pPr>
              <w:autoSpaceDE/>
              <w:autoSpaceDN/>
              <w:spacing w:line="0" w:lineRule="atLeast"/>
              <w:jc w:val="center"/>
              <w:rPr>
                <w:rFonts w:hint="eastAsia" w:ascii="仿宋_GB2312" w:hAnsi="仿宋_GB2312" w:eastAsia="仿宋_GB2312" w:cs="仿宋_GB2312"/>
                <w:kern w:val="2"/>
                <w:sz w:val="24"/>
                <w:szCs w:val="24"/>
                <w:lang w:eastAsia="zh-CN"/>
              </w:rPr>
            </w:pPr>
          </w:p>
        </w:tc>
      </w:tr>
      <w:tr w14:paraId="6C27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D5A80ED">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5</w:t>
            </w:r>
          </w:p>
        </w:tc>
        <w:tc>
          <w:tcPr>
            <w:tcW w:w="2276" w:type="dxa"/>
            <w:noWrap w:val="0"/>
            <w:vAlign w:val="center"/>
          </w:tcPr>
          <w:p w14:paraId="784C1DEE">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运用人工智能开展初高中学科素养增值评价探索----以数学学科为例</w:t>
            </w:r>
          </w:p>
        </w:tc>
        <w:tc>
          <w:tcPr>
            <w:tcW w:w="4155" w:type="dxa"/>
            <w:noWrap w:val="0"/>
            <w:vAlign w:val="center"/>
          </w:tcPr>
          <w:p w14:paraId="6460992E">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运用人工智能开展初高中学科素养增值评价探索研究，不仅关注学生的学习结果，更重视学生的学习起点和学习过程，通过对学科素养的增值情况分析，找到教育教学中的优势和不足，为基础教育阶段学科教学改革提供相关参考。</w:t>
            </w:r>
          </w:p>
        </w:tc>
        <w:tc>
          <w:tcPr>
            <w:tcW w:w="3679" w:type="dxa"/>
            <w:noWrap w:val="0"/>
            <w:vAlign w:val="center"/>
          </w:tcPr>
          <w:p w14:paraId="0BCAB4F6">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本课题突破以分数比较进行增值评价的传统手段，关注学生学科素养的养成与提升，应用人工智能技术，分析对比学生在中考和高考所反映的学科素养情况，探索进行科学的量化统计，构建模型，运用适合的统计分析方法计算增值，力求真实反映学生在学业成绩上的增长点以及学生在数学学科素养方面的增值情况，并结合学生认知发展的实际，分析影响初高中学科素养增值的相关因素，为数学学科教学改革提供相关参考。</w:t>
            </w:r>
          </w:p>
        </w:tc>
        <w:tc>
          <w:tcPr>
            <w:tcW w:w="1399" w:type="dxa"/>
            <w:vMerge w:val="restart"/>
            <w:noWrap w:val="0"/>
            <w:vAlign w:val="center"/>
          </w:tcPr>
          <w:p w14:paraId="5AB4AC1F">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w:t>
            </w:r>
            <w:r>
              <w:rPr>
                <w:rFonts w:hint="eastAsia" w:ascii="仿宋_GB2312" w:hAnsi="仿宋_GB2312" w:eastAsia="仿宋_GB2312" w:cs="仿宋_GB2312"/>
                <w:kern w:val="2"/>
                <w:sz w:val="24"/>
                <w:szCs w:val="24"/>
                <w:lang w:eastAsia="zh-CN" w:bidi="ar"/>
              </w:rPr>
              <w:t>38324852</w:t>
            </w:r>
          </w:p>
        </w:tc>
        <w:tc>
          <w:tcPr>
            <w:tcW w:w="1378" w:type="dxa"/>
            <w:vMerge w:val="continue"/>
            <w:noWrap w:val="0"/>
            <w:vAlign w:val="center"/>
          </w:tcPr>
          <w:p w14:paraId="6168A9C1">
            <w:pPr>
              <w:autoSpaceDE/>
              <w:autoSpaceDN/>
              <w:spacing w:line="0" w:lineRule="atLeast"/>
              <w:jc w:val="center"/>
              <w:rPr>
                <w:rFonts w:hint="eastAsia" w:ascii="仿宋_GB2312" w:hAnsi="仿宋_GB2312" w:eastAsia="仿宋_GB2312" w:cs="仿宋_GB2312"/>
                <w:kern w:val="2"/>
                <w:sz w:val="24"/>
                <w:szCs w:val="24"/>
                <w:lang w:eastAsia="zh-CN"/>
              </w:rPr>
            </w:pPr>
          </w:p>
        </w:tc>
      </w:tr>
      <w:tr w14:paraId="0C27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4574A90">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6</w:t>
            </w:r>
          </w:p>
        </w:tc>
        <w:tc>
          <w:tcPr>
            <w:tcW w:w="2276" w:type="dxa"/>
            <w:noWrap w:val="0"/>
            <w:vAlign w:val="center"/>
          </w:tcPr>
          <w:p w14:paraId="71032600">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五育并举要求下的新高考评价实践与展望----以数学学科为例</w:t>
            </w:r>
          </w:p>
        </w:tc>
        <w:tc>
          <w:tcPr>
            <w:tcW w:w="4155" w:type="dxa"/>
            <w:noWrap w:val="0"/>
            <w:vAlign w:val="center"/>
          </w:tcPr>
          <w:p w14:paraId="64482475">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对比研究2020-2024年即我省进入新高考前后4年的高考评价，深入挖掘试题素材蕴含的育人价值，分析五育并举要求下的高考的育人功能和教学导向，帮助教师和学生把握高考的改革方向，进一步转变教学观念，扭转刷题依赖，提升教学质量。</w:t>
            </w:r>
          </w:p>
        </w:tc>
        <w:tc>
          <w:tcPr>
            <w:tcW w:w="3679" w:type="dxa"/>
            <w:noWrap w:val="0"/>
            <w:vAlign w:val="center"/>
          </w:tcPr>
          <w:p w14:paraId="3E06FBE9">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本课题以新高考前后4年数学学科的高考试题为研究对象，根据学科特点和培养目标，从问题情境、试卷结构、试题设计等方面进行纵向比较研究，深入分析在五育并举要求下新高考数学学科的考察要求和考察内容的变化，探讨高考“立德树人、服务选才、引导教学”的核心功能在新高考实践中的具体体现并展望未来发展趋势。</w:t>
            </w:r>
          </w:p>
        </w:tc>
        <w:tc>
          <w:tcPr>
            <w:tcW w:w="1399" w:type="dxa"/>
            <w:vMerge w:val="continue"/>
            <w:noWrap w:val="0"/>
            <w:vAlign w:val="center"/>
          </w:tcPr>
          <w:p w14:paraId="40422E8F">
            <w:pPr>
              <w:spacing w:line="0" w:lineRule="atLeast"/>
              <w:jc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7AAD7352">
            <w:pPr>
              <w:autoSpaceDE/>
              <w:autoSpaceDN/>
              <w:spacing w:line="0" w:lineRule="atLeast"/>
              <w:jc w:val="center"/>
              <w:rPr>
                <w:rFonts w:hint="eastAsia" w:ascii="仿宋_GB2312" w:hAnsi="仿宋_GB2312" w:eastAsia="仿宋_GB2312" w:cs="仿宋_GB2312"/>
                <w:kern w:val="2"/>
                <w:sz w:val="24"/>
                <w:szCs w:val="24"/>
                <w:lang w:eastAsia="zh-CN"/>
              </w:rPr>
            </w:pPr>
          </w:p>
        </w:tc>
      </w:tr>
      <w:tr w14:paraId="63FB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DA25C24">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7</w:t>
            </w:r>
          </w:p>
        </w:tc>
        <w:tc>
          <w:tcPr>
            <w:tcW w:w="2276" w:type="dxa"/>
            <w:noWrap w:val="0"/>
            <w:vAlign w:val="center"/>
          </w:tcPr>
          <w:p w14:paraId="6B3EC2D8">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初中学考文史类科目依标命题与价值引领的广东实践与探索</w:t>
            </w:r>
          </w:p>
        </w:tc>
        <w:tc>
          <w:tcPr>
            <w:tcW w:w="4155" w:type="dxa"/>
            <w:noWrap w:val="0"/>
            <w:vAlign w:val="center"/>
          </w:tcPr>
          <w:p w14:paraId="1413EE56">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文史类三科是开展铸魂育人工程、落实教育强国核心议题的重要科目。开展初中学考依标命题与价值引领研究，从考试角度凝练基础教育扩优提质的“广东经验”，是推进我省深化基础教育教学改革、促进减负提质的主要支撑。</w:t>
            </w:r>
          </w:p>
        </w:tc>
        <w:tc>
          <w:tcPr>
            <w:tcW w:w="3679" w:type="dxa"/>
            <w:noWrap w:val="0"/>
            <w:vAlign w:val="center"/>
          </w:tcPr>
          <w:p w14:paraId="49896B71">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分语文•历史•道法三个版块内容，结合教育部课程改革要求，从落实服务选材宗旨、衔接初高中教学需求角度，通过近几年我省初中学业考试命题实践成果，在命题管理、信息赋能、情景创设、命题技巧等多维度，总结命题水平提升成效与经验，提炼初中学业考试的广东命题设计原则与路径，探索“广东模式”提现“广东效果”。</w:t>
            </w:r>
          </w:p>
        </w:tc>
        <w:tc>
          <w:tcPr>
            <w:tcW w:w="1399" w:type="dxa"/>
            <w:noWrap w:val="0"/>
            <w:vAlign w:val="center"/>
          </w:tcPr>
          <w:p w14:paraId="75A83D13">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020-38627820</w:t>
            </w:r>
          </w:p>
        </w:tc>
        <w:tc>
          <w:tcPr>
            <w:tcW w:w="1378" w:type="dxa"/>
            <w:vMerge w:val="continue"/>
            <w:noWrap w:val="0"/>
            <w:vAlign w:val="center"/>
          </w:tcPr>
          <w:p w14:paraId="2B568724">
            <w:pPr>
              <w:autoSpaceDE/>
              <w:autoSpaceDN/>
              <w:spacing w:line="0" w:lineRule="atLeast"/>
              <w:jc w:val="center"/>
              <w:rPr>
                <w:rFonts w:hint="eastAsia" w:ascii="仿宋_GB2312" w:hAnsi="仿宋_GB2312" w:eastAsia="仿宋_GB2312" w:cs="仿宋_GB2312"/>
                <w:kern w:val="2"/>
                <w:sz w:val="24"/>
                <w:szCs w:val="24"/>
                <w:lang w:eastAsia="zh-CN"/>
              </w:rPr>
            </w:pPr>
          </w:p>
        </w:tc>
      </w:tr>
      <w:tr w14:paraId="1D6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F82ED1C">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8</w:t>
            </w:r>
          </w:p>
        </w:tc>
        <w:tc>
          <w:tcPr>
            <w:tcW w:w="2276" w:type="dxa"/>
            <w:noWrap w:val="0"/>
            <w:vAlign w:val="center"/>
          </w:tcPr>
          <w:p w14:paraId="4D04059D">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初中学考自然科学类科目依标命题与价值引领的广东探索与研究</w:t>
            </w:r>
          </w:p>
        </w:tc>
        <w:tc>
          <w:tcPr>
            <w:tcW w:w="4155" w:type="dxa"/>
            <w:noWrap w:val="0"/>
            <w:vAlign w:val="center"/>
          </w:tcPr>
          <w:p w14:paraId="50B25F71">
            <w:pPr>
              <w:spacing w:line="0" w:lineRule="atLeas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初中自然科学类的三科是培养学生基础科学素养的核心科目。依标命题是深化中考改革的重要举措，在物理、化学与生物学三科开展中考依标命题与价值引领的研究，凝练“广东经验与成果”，对落实立德树人根本任务、推进科学学科“减负提质”具有重要意义。</w:t>
            </w:r>
          </w:p>
          <w:p w14:paraId="3E367F04">
            <w:pPr>
              <w:spacing w:line="0" w:lineRule="atLeast"/>
              <w:jc w:val="both"/>
              <w:rPr>
                <w:rFonts w:hint="eastAsia" w:ascii="仿宋_GB2312" w:hAnsi="仿宋_GB2312" w:eastAsia="仿宋_GB2312" w:cs="仿宋_GB2312"/>
                <w:color w:val="000000"/>
                <w:sz w:val="24"/>
                <w:szCs w:val="24"/>
                <w:lang w:eastAsia="zh-CN" w:bidi="ar"/>
              </w:rPr>
            </w:pPr>
          </w:p>
        </w:tc>
        <w:tc>
          <w:tcPr>
            <w:tcW w:w="3679" w:type="dxa"/>
            <w:noWrap w:val="0"/>
            <w:vAlign w:val="center"/>
          </w:tcPr>
          <w:p w14:paraId="273F9E5E">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分为物理·化学·生物学三个版块内容。在新版义务教育课程标准与新教材的“双新”引领下，从核心素养立意、关键能力考查、教学评一体化、跨学科融合、情境设计等角度，分析与探讨近几年来物化生三科中考试卷的实践成果，总结与凝练依标命题背景下的“广东经验”，深化科学学科命题路径研究，并在此基础上开展具有科学学科特色的跨学科命题及融入价值引领的情景化命题探索与实践。</w:t>
            </w:r>
          </w:p>
        </w:tc>
        <w:tc>
          <w:tcPr>
            <w:tcW w:w="1399" w:type="dxa"/>
            <w:noWrap w:val="0"/>
            <w:vAlign w:val="center"/>
          </w:tcPr>
          <w:p w14:paraId="179B730F">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020-38627872</w:t>
            </w:r>
          </w:p>
        </w:tc>
        <w:tc>
          <w:tcPr>
            <w:tcW w:w="1378" w:type="dxa"/>
            <w:vMerge w:val="continue"/>
            <w:noWrap w:val="0"/>
            <w:vAlign w:val="center"/>
          </w:tcPr>
          <w:p w14:paraId="467B77D2">
            <w:pPr>
              <w:autoSpaceDE/>
              <w:autoSpaceDN/>
              <w:spacing w:line="0" w:lineRule="atLeast"/>
              <w:jc w:val="center"/>
              <w:rPr>
                <w:rFonts w:hint="eastAsia" w:ascii="仿宋_GB2312" w:hAnsi="仿宋_GB2312" w:eastAsia="仿宋_GB2312" w:cs="仿宋_GB2312"/>
                <w:kern w:val="2"/>
                <w:sz w:val="24"/>
                <w:szCs w:val="24"/>
                <w:lang w:eastAsia="zh-CN"/>
              </w:rPr>
            </w:pPr>
          </w:p>
        </w:tc>
      </w:tr>
      <w:tr w14:paraId="5588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730BAD5">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9</w:t>
            </w:r>
          </w:p>
        </w:tc>
        <w:tc>
          <w:tcPr>
            <w:tcW w:w="2276" w:type="dxa"/>
            <w:noWrap w:val="0"/>
            <w:vAlign w:val="center"/>
          </w:tcPr>
          <w:p w14:paraId="75FD432C">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人工智能技术在考试命题中的应用研究</w:t>
            </w:r>
          </w:p>
        </w:tc>
        <w:tc>
          <w:tcPr>
            <w:tcW w:w="4155" w:type="dxa"/>
            <w:noWrap w:val="0"/>
            <w:vAlign w:val="center"/>
          </w:tcPr>
          <w:p w14:paraId="1CB61B8F">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人工智能技术的飞速发展，给考试命题带来了新的机遇与挑战。开展人工智能在考试命题中的创新应用，推进技术赋能下的命题智能化转型研究，研发智能化命题和质量评价系统，进一步提高命题效率、质量和公平性。</w:t>
            </w:r>
          </w:p>
        </w:tc>
        <w:tc>
          <w:tcPr>
            <w:tcW w:w="3679" w:type="dxa"/>
            <w:noWrap w:val="0"/>
            <w:vAlign w:val="center"/>
          </w:tcPr>
          <w:p w14:paraId="1B5010A6">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项目聚焦人工智能技术在考试命题领域的创新应用，重点突破</w:t>
            </w:r>
            <w:r>
              <w:rPr>
                <w:rFonts w:hint="eastAsia" w:ascii="仿宋_GB2312" w:hAnsi="仿宋_GB2312" w:eastAsia="仿宋_GB2312" w:cs="仿宋_GB2312"/>
                <w:sz w:val="24"/>
                <w:szCs w:val="24"/>
                <w:lang w:val="en-US" w:eastAsia="zh-CN"/>
              </w:rPr>
              <w:t>高精度</w:t>
            </w:r>
            <w:r>
              <w:rPr>
                <w:rFonts w:hint="eastAsia" w:ascii="仿宋_GB2312" w:hAnsi="仿宋_GB2312" w:eastAsia="仿宋_GB2312" w:cs="仿宋_GB2312"/>
                <w:sz w:val="24"/>
                <w:szCs w:val="24"/>
                <w:lang w:eastAsia="zh-CN"/>
              </w:rPr>
              <w:t>知识点智能标注、大语言模型（LLM）辅助自动命题、多模态自动阅卷与考试评价等关键技术。形成“标注-命题-评阅-反馈”全流程智能化体系，推动教育考试向高效、精准、公平的数字化转型，提升命题科学性与考试公正性。</w:t>
            </w:r>
          </w:p>
        </w:tc>
        <w:tc>
          <w:tcPr>
            <w:tcW w:w="1399" w:type="dxa"/>
            <w:noWrap w:val="0"/>
            <w:vAlign w:val="center"/>
          </w:tcPr>
          <w:p w14:paraId="076E7EA3">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020-38627820</w:t>
            </w:r>
          </w:p>
        </w:tc>
        <w:tc>
          <w:tcPr>
            <w:tcW w:w="1378" w:type="dxa"/>
            <w:vMerge w:val="continue"/>
            <w:noWrap w:val="0"/>
            <w:vAlign w:val="center"/>
          </w:tcPr>
          <w:p w14:paraId="2DCDAE54">
            <w:pPr>
              <w:autoSpaceDE/>
              <w:autoSpaceDN/>
              <w:spacing w:line="0" w:lineRule="atLeast"/>
              <w:jc w:val="center"/>
              <w:rPr>
                <w:rFonts w:hint="eastAsia" w:ascii="仿宋_GB2312" w:hAnsi="仿宋_GB2312" w:eastAsia="仿宋_GB2312" w:cs="仿宋_GB2312"/>
                <w:kern w:val="2"/>
                <w:sz w:val="24"/>
                <w:szCs w:val="24"/>
                <w:lang w:eastAsia="zh-CN"/>
              </w:rPr>
            </w:pPr>
          </w:p>
        </w:tc>
      </w:tr>
      <w:tr w14:paraId="24CC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2307C42">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50</w:t>
            </w:r>
          </w:p>
        </w:tc>
        <w:tc>
          <w:tcPr>
            <w:tcW w:w="2276" w:type="dxa"/>
            <w:noWrap w:val="0"/>
            <w:vAlign w:val="center"/>
          </w:tcPr>
          <w:p w14:paraId="2CB864ED">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教育强省建设的关键问题与对策研究</w:t>
            </w:r>
          </w:p>
        </w:tc>
        <w:tc>
          <w:tcPr>
            <w:tcW w:w="4155" w:type="dxa"/>
            <w:noWrap w:val="0"/>
            <w:vAlign w:val="center"/>
          </w:tcPr>
          <w:p w14:paraId="2455C66F">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aps w:val="0"/>
                <w:spacing w:val="0"/>
                <w:sz w:val="24"/>
                <w:szCs w:val="24"/>
                <w:shd w:val="clear" w:color="auto" w:fill="auto"/>
                <w:lang w:eastAsia="zh-CN"/>
              </w:rPr>
              <w:t>丰富地方教育发展理论体系，精准识别教育资源配置不均衡、人才培养不足等瓶颈，为优化教育结构、提升区域教育竞争力提供路径，助力以教育现代化推动区域经济社会高质量发展与创新驱动战略落地。</w:t>
            </w:r>
          </w:p>
        </w:tc>
        <w:tc>
          <w:tcPr>
            <w:tcW w:w="3679" w:type="dxa"/>
            <w:noWrap w:val="0"/>
            <w:vAlign w:val="center"/>
          </w:tcPr>
          <w:p w14:paraId="7291E544">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aps w:val="0"/>
                <w:spacing w:val="0"/>
                <w:sz w:val="24"/>
                <w:szCs w:val="24"/>
                <w:shd w:val="clear" w:color="auto" w:fill="auto"/>
                <w:lang w:eastAsia="zh-CN"/>
              </w:rPr>
              <w:t>聚</w:t>
            </w:r>
            <w:r>
              <w:rPr>
                <w:rFonts w:hint="eastAsia" w:ascii="仿宋_GB2312" w:hAnsi="仿宋_GB2312" w:eastAsia="仿宋_GB2312" w:cs="仿宋_GB2312"/>
                <w:sz w:val="24"/>
                <w:szCs w:val="24"/>
                <w:lang w:val="en-US" w:eastAsia="zh-CN"/>
              </w:rPr>
              <w:t>焦教育强省建设，剖析区域教育资源配置、高等教育竞争力、职业教育适配性等关键问题，分析资源不均衡、产教脱节、创新人才培养不足等瓶颈；梳理教育强省建设的理论基础与政策要求，借鉴国内外区域教育发展经验；从资源优化配置、高校“双一流”建设、产教深度融合、教师队伍提质、政策协同保障等方面提出对策，构建高质量教育体系。</w:t>
            </w:r>
          </w:p>
        </w:tc>
        <w:tc>
          <w:tcPr>
            <w:tcW w:w="1399" w:type="dxa"/>
            <w:vMerge w:val="restart"/>
            <w:noWrap w:val="0"/>
            <w:vAlign w:val="center"/>
          </w:tcPr>
          <w:p w14:paraId="225D2F7E">
            <w:pPr>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020-83525423</w:t>
            </w:r>
          </w:p>
        </w:tc>
        <w:tc>
          <w:tcPr>
            <w:tcW w:w="1378" w:type="dxa"/>
            <w:vMerge w:val="restart"/>
            <w:noWrap w:val="0"/>
            <w:vAlign w:val="center"/>
          </w:tcPr>
          <w:p w14:paraId="32C2328F">
            <w:p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教育研究院</w:t>
            </w:r>
          </w:p>
        </w:tc>
      </w:tr>
      <w:tr w14:paraId="0CD0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8F3252B">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51</w:t>
            </w:r>
          </w:p>
        </w:tc>
        <w:tc>
          <w:tcPr>
            <w:tcW w:w="2276" w:type="dxa"/>
            <w:noWrap w:val="0"/>
            <w:vAlign w:val="center"/>
          </w:tcPr>
          <w:p w14:paraId="58E3745E">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人才培养与经济社会发展的适配机制研究</w:t>
            </w:r>
          </w:p>
        </w:tc>
        <w:tc>
          <w:tcPr>
            <w:tcW w:w="4155" w:type="dxa"/>
            <w:noWrap w:val="0"/>
            <w:vAlign w:val="center"/>
          </w:tcPr>
          <w:p w14:paraId="7035EBD7">
            <w:pPr>
              <w:keepNext w:val="0"/>
              <w:keepLines w:val="0"/>
              <w:pageBreakBefore w:val="0"/>
              <w:widowControl/>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加强人才培养与经济社会发展适配机制的研究，推动多学科理论融合创新，解决人才供需结构性矛盾，促进教育与产业深度衔接，为政府、企业决策提供科学依据，助力经济高质量与社会可持续发展。</w:t>
            </w:r>
          </w:p>
        </w:tc>
        <w:tc>
          <w:tcPr>
            <w:tcW w:w="3679" w:type="dxa"/>
            <w:noWrap w:val="0"/>
            <w:vAlign w:val="center"/>
          </w:tcPr>
          <w:p w14:paraId="5238BC43">
            <w:pPr>
              <w:keepNext w:val="0"/>
              <w:keepLines w:val="0"/>
              <w:pageBreakBefore w:val="0"/>
              <w:widowControl/>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剖析人力资本、教育经济学等理论，构建适配机制理论模型；运用数据与案例，评估人才培养规模、结构与质量，分析经济社会人才需求特征，找出适配问题及成因；借鉴国内外优秀案例经验，提出适配机制建设方向；从教育改革、政策支持、校企合作等角度，提出优化策略，并构建动态监测反馈机制，保障适配机制长效运行。</w:t>
            </w:r>
          </w:p>
        </w:tc>
        <w:tc>
          <w:tcPr>
            <w:tcW w:w="1399" w:type="dxa"/>
            <w:vMerge w:val="continue"/>
            <w:noWrap w:val="0"/>
            <w:vAlign w:val="center"/>
          </w:tcPr>
          <w:p w14:paraId="11E66D2F">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1B9C6906">
            <w:pPr>
              <w:autoSpaceDE/>
              <w:autoSpaceDN/>
              <w:spacing w:line="0" w:lineRule="atLeast"/>
              <w:jc w:val="center"/>
              <w:rPr>
                <w:rFonts w:hint="eastAsia" w:ascii="仿宋_GB2312" w:hAnsi="仿宋_GB2312" w:eastAsia="仿宋_GB2312" w:cs="仿宋_GB2312"/>
                <w:kern w:val="2"/>
                <w:sz w:val="24"/>
                <w:szCs w:val="24"/>
                <w:lang w:eastAsia="zh-CN"/>
              </w:rPr>
            </w:pPr>
          </w:p>
        </w:tc>
      </w:tr>
      <w:tr w14:paraId="7ADE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9CE54E7">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52</w:t>
            </w:r>
          </w:p>
        </w:tc>
        <w:tc>
          <w:tcPr>
            <w:tcW w:w="2276" w:type="dxa"/>
            <w:noWrap w:val="0"/>
            <w:vAlign w:val="center"/>
          </w:tcPr>
          <w:p w14:paraId="42648C53">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粤港澳大湾区教育协同创新发展政策支持研究</w:t>
            </w:r>
          </w:p>
        </w:tc>
        <w:tc>
          <w:tcPr>
            <w:tcW w:w="4155" w:type="dxa"/>
            <w:noWrap w:val="0"/>
            <w:vAlign w:val="center"/>
          </w:tcPr>
          <w:p w14:paraId="56427494">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1C1F23"/>
                <w:sz w:val="24"/>
                <w:szCs w:val="24"/>
                <w:shd w:val="clear" w:color="auto" w:fill="auto"/>
                <w:lang w:eastAsia="zh-CN"/>
              </w:rPr>
              <w:t>推动粤港澳大湾区教育</w:t>
            </w:r>
            <w:r>
              <w:rPr>
                <w:rFonts w:hint="eastAsia" w:ascii="仿宋_GB2312" w:hAnsi="仿宋_GB2312" w:eastAsia="仿宋_GB2312" w:cs="仿宋_GB2312"/>
                <w:color w:val="1C1F23"/>
                <w:sz w:val="24"/>
                <w:szCs w:val="24"/>
                <w:shd w:val="clear" w:color="auto" w:fill="auto"/>
                <w:lang w:val="en-US" w:eastAsia="zh-CN"/>
              </w:rPr>
              <w:t>协同</w:t>
            </w:r>
            <w:r>
              <w:rPr>
                <w:rFonts w:hint="eastAsia" w:ascii="仿宋_GB2312" w:hAnsi="仿宋_GB2312" w:eastAsia="仿宋_GB2312" w:cs="仿宋_GB2312"/>
                <w:color w:val="1C1F23"/>
                <w:sz w:val="24"/>
                <w:szCs w:val="24"/>
                <w:shd w:val="clear" w:color="auto" w:fill="auto"/>
                <w:lang w:eastAsia="zh-CN"/>
              </w:rPr>
              <w:t>创新发展，促进教育资源跨域共享（如课程、师资、科技资源），为多元教育体系融合下的</w:t>
            </w:r>
            <w:r>
              <w:rPr>
                <w:rFonts w:hint="eastAsia" w:ascii="仿宋_GB2312" w:hAnsi="仿宋_GB2312" w:eastAsia="仿宋_GB2312" w:cs="仿宋_GB2312"/>
                <w:color w:val="1C1F23"/>
                <w:sz w:val="24"/>
                <w:szCs w:val="24"/>
                <w:shd w:val="clear" w:color="auto" w:fill="auto"/>
                <w:lang w:val="en-US" w:eastAsia="zh-CN"/>
              </w:rPr>
              <w:t>合作办学模式改革、</w:t>
            </w:r>
            <w:r>
              <w:rPr>
                <w:rFonts w:hint="eastAsia" w:ascii="仿宋_GB2312" w:hAnsi="仿宋_GB2312" w:eastAsia="仿宋_GB2312" w:cs="仿宋_GB2312"/>
                <w:color w:val="1C1F23"/>
                <w:sz w:val="24"/>
                <w:szCs w:val="24"/>
                <w:shd w:val="clear" w:color="auto" w:fill="auto"/>
                <w:lang w:eastAsia="zh-CN"/>
              </w:rPr>
              <w:t>学生培养提供支持及理论框架，优化政策支持体系，助力大湾区“国际教育示范区建设”。</w:t>
            </w:r>
          </w:p>
        </w:tc>
        <w:tc>
          <w:tcPr>
            <w:tcW w:w="3679" w:type="dxa"/>
            <w:noWrap w:val="0"/>
            <w:vAlign w:val="center"/>
          </w:tcPr>
          <w:p w14:paraId="07A35F91">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color w:val="1C1F23"/>
                <w:sz w:val="24"/>
                <w:szCs w:val="24"/>
                <w:shd w:val="clear" w:color="auto" w:fill="auto"/>
                <w:lang w:val="en-US" w:eastAsia="zh-CN"/>
              </w:rPr>
            </w:pPr>
            <w:r>
              <w:rPr>
                <w:rFonts w:hint="eastAsia" w:ascii="仿宋_GB2312" w:hAnsi="仿宋_GB2312" w:eastAsia="仿宋_GB2312" w:cs="仿宋_GB2312"/>
                <w:color w:val="1C1F23"/>
                <w:sz w:val="24"/>
                <w:szCs w:val="24"/>
                <w:shd w:val="clear" w:color="auto" w:fill="auto"/>
                <w:lang w:val="en-US" w:eastAsia="zh-CN"/>
              </w:rPr>
              <w:t>1.合作办学协同创新模式研究，包括设计创新模式的具体内容和架构，如合作机制、人才培养模式、师资队伍建设体系、资源共享平台、政策管理机制等，制定实践路径、实施策略及需要的政策支持。</w:t>
            </w:r>
          </w:p>
          <w:p w14:paraId="28952D88">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1C1F23"/>
                <w:sz w:val="24"/>
                <w:szCs w:val="24"/>
                <w:shd w:val="clear" w:color="auto" w:fill="auto"/>
                <w:lang w:val="en-US" w:eastAsia="zh-CN"/>
              </w:rPr>
              <w:t>2.学生培养协同创新</w:t>
            </w:r>
            <w:r>
              <w:rPr>
                <w:rFonts w:hint="eastAsia" w:ascii="仿宋_GB2312" w:hAnsi="仿宋_GB2312" w:eastAsia="仿宋_GB2312" w:cs="仿宋_GB2312"/>
                <w:color w:val="1C1F23"/>
                <w:sz w:val="24"/>
                <w:szCs w:val="24"/>
                <w:shd w:val="clear" w:color="auto" w:fill="auto"/>
                <w:lang w:eastAsia="zh-CN"/>
              </w:rPr>
              <w:t>模式研究，包括调研</w:t>
            </w:r>
            <w:r>
              <w:rPr>
                <w:rFonts w:hint="eastAsia" w:ascii="仿宋_GB2312" w:hAnsi="仿宋_GB2312" w:eastAsia="仿宋_GB2312" w:cs="仿宋_GB2312"/>
                <w:color w:val="1C1F23"/>
                <w:sz w:val="24"/>
                <w:szCs w:val="24"/>
                <w:shd w:val="clear" w:color="auto" w:fill="auto"/>
                <w:lang w:val="en-US" w:eastAsia="zh-CN"/>
              </w:rPr>
              <w:t>在粤港澳学生培养不同</w:t>
            </w:r>
            <w:r>
              <w:rPr>
                <w:rFonts w:hint="eastAsia" w:ascii="仿宋_GB2312" w:hAnsi="仿宋_GB2312" w:eastAsia="仿宋_GB2312" w:cs="仿宋_GB2312"/>
                <w:color w:val="1C1F23"/>
                <w:sz w:val="24"/>
                <w:szCs w:val="24"/>
                <w:shd w:val="clear" w:color="auto" w:fill="auto"/>
                <w:lang w:eastAsia="zh-CN"/>
              </w:rPr>
              <w:t>典型模式，分析</w:t>
            </w:r>
            <w:r>
              <w:rPr>
                <w:rFonts w:hint="eastAsia" w:ascii="仿宋_GB2312" w:hAnsi="仿宋_GB2312" w:eastAsia="仿宋_GB2312" w:cs="仿宋_GB2312"/>
                <w:color w:val="1C1F23"/>
                <w:sz w:val="24"/>
                <w:szCs w:val="24"/>
                <w:shd w:val="clear" w:color="auto" w:fill="auto"/>
                <w:lang w:val="en-US" w:eastAsia="zh-CN"/>
              </w:rPr>
              <w:t>在粤港澳学生培养不同模式</w:t>
            </w:r>
            <w:r>
              <w:rPr>
                <w:rFonts w:hint="eastAsia" w:ascii="仿宋_GB2312" w:hAnsi="仿宋_GB2312" w:eastAsia="仿宋_GB2312" w:cs="仿宋_GB2312"/>
                <w:color w:val="1C1F23"/>
                <w:sz w:val="24"/>
                <w:szCs w:val="24"/>
                <w:shd w:val="clear" w:color="auto" w:fill="auto"/>
                <w:lang w:eastAsia="zh-CN"/>
              </w:rPr>
              <w:t>现状、运行机制、课程设置、师资配置、学生流向等，通过比较研究、理论研究等，评估不同模式成效和问题</w:t>
            </w:r>
            <w:r>
              <w:rPr>
                <w:rFonts w:hint="eastAsia" w:ascii="仿宋_GB2312" w:hAnsi="仿宋_GB2312" w:eastAsia="仿宋_GB2312" w:cs="仿宋_GB2312"/>
                <w:color w:val="1C1F23"/>
                <w:sz w:val="24"/>
                <w:szCs w:val="24"/>
                <w:shd w:val="clear" w:color="auto" w:fill="auto"/>
                <w:lang w:val="en-US" w:eastAsia="zh-CN"/>
              </w:rPr>
              <w:t>及</w:t>
            </w:r>
            <w:r>
              <w:rPr>
                <w:rFonts w:hint="eastAsia" w:ascii="仿宋_GB2312" w:hAnsi="仿宋_GB2312" w:eastAsia="仿宋_GB2312" w:cs="仿宋_GB2312"/>
                <w:color w:val="1C1F23"/>
                <w:sz w:val="24"/>
                <w:szCs w:val="24"/>
                <w:shd w:val="clear" w:color="auto" w:fill="auto"/>
                <w:lang w:eastAsia="zh-CN"/>
              </w:rPr>
              <w:t>面临的困难挑战及需要的政策支持。</w:t>
            </w:r>
          </w:p>
        </w:tc>
        <w:tc>
          <w:tcPr>
            <w:tcW w:w="1399" w:type="dxa"/>
            <w:vMerge w:val="continue"/>
            <w:noWrap w:val="0"/>
            <w:vAlign w:val="center"/>
          </w:tcPr>
          <w:p w14:paraId="62E06225">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67EDF519">
            <w:pPr>
              <w:autoSpaceDE/>
              <w:autoSpaceDN/>
              <w:spacing w:line="0" w:lineRule="atLeast"/>
              <w:jc w:val="center"/>
              <w:rPr>
                <w:rFonts w:hint="eastAsia" w:ascii="仿宋_GB2312" w:hAnsi="仿宋_GB2312" w:eastAsia="仿宋_GB2312" w:cs="仿宋_GB2312"/>
                <w:kern w:val="2"/>
                <w:sz w:val="24"/>
                <w:szCs w:val="24"/>
                <w:lang w:eastAsia="zh-CN"/>
              </w:rPr>
            </w:pPr>
          </w:p>
        </w:tc>
      </w:tr>
      <w:tr w14:paraId="1DE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2A91597">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53</w:t>
            </w:r>
          </w:p>
        </w:tc>
        <w:tc>
          <w:tcPr>
            <w:tcW w:w="2276" w:type="dxa"/>
            <w:noWrap w:val="0"/>
            <w:vAlign w:val="center"/>
          </w:tcPr>
          <w:p w14:paraId="4E4C4E98">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教育科技人才一体化推进协同机制研究</w:t>
            </w:r>
          </w:p>
        </w:tc>
        <w:tc>
          <w:tcPr>
            <w:tcW w:w="4155" w:type="dxa"/>
            <w:noWrap w:val="0"/>
            <w:vAlign w:val="center"/>
          </w:tcPr>
          <w:p w14:paraId="020CB7B8">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完善跨领域协同发展理论体系，破解教育、科技、人才发展各自为政的难题，实现资源共享与优势互补，加速科技成果转化，为国家高质量发展和创新型国家建设注入动力。</w:t>
            </w:r>
          </w:p>
        </w:tc>
        <w:tc>
          <w:tcPr>
            <w:tcW w:w="3679" w:type="dxa"/>
            <w:noWrap w:val="0"/>
            <w:vAlign w:val="center"/>
          </w:tcPr>
          <w:p w14:paraId="268825C4">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围绕教育科技人才一体化推进协同机制，构建理论框架，分析教育、科技、人才领域发展现状及一体化推进存在的壁垒，借鉴国内外产学研融合等典型经验，从政策协同、资源整合、平台搭建、动态评估等方面，提出破除部门分割、强化协同联动的对策，推动三者深度融合与高效发展。</w:t>
            </w:r>
          </w:p>
        </w:tc>
        <w:tc>
          <w:tcPr>
            <w:tcW w:w="1399" w:type="dxa"/>
            <w:vMerge w:val="continue"/>
            <w:noWrap w:val="0"/>
            <w:vAlign w:val="center"/>
          </w:tcPr>
          <w:p w14:paraId="4727BCAC">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70124F4A">
            <w:pPr>
              <w:autoSpaceDE/>
              <w:autoSpaceDN/>
              <w:spacing w:line="0" w:lineRule="atLeast"/>
              <w:jc w:val="center"/>
              <w:rPr>
                <w:rFonts w:hint="eastAsia" w:ascii="仿宋_GB2312" w:hAnsi="仿宋_GB2312" w:eastAsia="仿宋_GB2312" w:cs="仿宋_GB2312"/>
                <w:kern w:val="2"/>
                <w:sz w:val="24"/>
                <w:szCs w:val="24"/>
                <w:lang w:eastAsia="zh-CN"/>
              </w:rPr>
            </w:pPr>
          </w:p>
        </w:tc>
      </w:tr>
      <w:tr w14:paraId="591A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4AB0F53">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54</w:t>
            </w:r>
          </w:p>
        </w:tc>
        <w:tc>
          <w:tcPr>
            <w:tcW w:w="2276" w:type="dxa"/>
            <w:noWrap w:val="0"/>
            <w:vAlign w:val="center"/>
          </w:tcPr>
          <w:p w14:paraId="36A598FB">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数智时代育人方式变革研究</w:t>
            </w:r>
          </w:p>
        </w:tc>
        <w:tc>
          <w:tcPr>
            <w:tcW w:w="4155" w:type="dxa"/>
            <w:noWrap w:val="0"/>
            <w:vAlign w:val="center"/>
          </w:tcPr>
          <w:p w14:paraId="089E82E6">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教育部近年密集出台政策，如《关于加强中小学人工智能教育的通知》《中小学人工智能通识教育指南》和《中小学生成式人工智能使用指南》等，系统构建了全学段AI教育框架，强调“学用结合”与素养培育。</w:t>
            </w:r>
          </w:p>
        </w:tc>
        <w:tc>
          <w:tcPr>
            <w:tcW w:w="3679" w:type="dxa"/>
            <w:noWrap w:val="0"/>
            <w:vAlign w:val="center"/>
          </w:tcPr>
          <w:p w14:paraId="6D400A00">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学校教育的育人理念及人才培养方式变革等研究。数智时代，学校育人理念变革及运用</w:t>
            </w:r>
            <w:r>
              <w:rPr>
                <w:rFonts w:hint="eastAsia" w:ascii="仿宋_GB2312" w:hAnsi="仿宋_GB2312" w:eastAsia="仿宋_GB2312" w:cs="仿宋_GB2312"/>
                <w:sz w:val="24"/>
                <w:szCs w:val="24"/>
                <w:lang w:eastAsia="zh-CN"/>
              </w:rPr>
              <w:t>人工智能</w:t>
            </w:r>
            <w:r>
              <w:rPr>
                <w:rFonts w:hint="eastAsia" w:ascii="仿宋_GB2312" w:hAnsi="仿宋_GB2312" w:eastAsia="仿宋_GB2312" w:cs="仿宋_GB2312"/>
                <w:sz w:val="24"/>
                <w:szCs w:val="24"/>
                <w:lang w:val="en-US" w:eastAsia="zh-CN"/>
              </w:rPr>
              <w:t>对教学方式、学生评价、教师评价、校本教研、家校协同等</w:t>
            </w:r>
            <w:r>
              <w:rPr>
                <w:rFonts w:hint="eastAsia" w:ascii="仿宋_GB2312" w:hAnsi="仿宋_GB2312" w:eastAsia="仿宋_GB2312" w:cs="仿宋_GB2312"/>
                <w:sz w:val="24"/>
                <w:szCs w:val="24"/>
                <w:lang w:eastAsia="zh-CN"/>
              </w:rPr>
              <w:t>方面的理论分析和实践研究。</w:t>
            </w:r>
            <w:r>
              <w:rPr>
                <w:rFonts w:hint="eastAsia" w:ascii="仿宋_GB2312" w:hAnsi="仿宋_GB2312" w:eastAsia="仿宋_GB2312" w:cs="仿宋_GB2312"/>
                <w:i w:val="0"/>
                <w:iCs w:val="0"/>
                <w:caps w:val="0"/>
                <w:spacing w:val="0"/>
                <w:sz w:val="24"/>
                <w:szCs w:val="24"/>
                <w:lang w:eastAsia="zh-CN"/>
              </w:rPr>
              <w:t>教师与人工智能协同</w:t>
            </w:r>
            <w:r>
              <w:rPr>
                <w:rFonts w:hint="eastAsia" w:ascii="仿宋_GB2312" w:hAnsi="仿宋_GB2312" w:eastAsia="仿宋_GB2312" w:cs="仿宋_GB2312"/>
                <w:i w:val="0"/>
                <w:iCs w:val="0"/>
                <w:caps w:val="0"/>
                <w:spacing w:val="0"/>
                <w:sz w:val="24"/>
                <w:szCs w:val="24"/>
                <w:lang w:val="en-US" w:eastAsia="zh-CN"/>
              </w:rPr>
              <w:t>的</w:t>
            </w:r>
            <w:r>
              <w:rPr>
                <w:rFonts w:hint="eastAsia" w:ascii="仿宋_GB2312" w:hAnsi="仿宋_GB2312" w:eastAsia="仿宋_GB2312" w:cs="仿宋_GB2312"/>
                <w:i w:val="0"/>
                <w:iCs w:val="0"/>
                <w:caps w:val="0"/>
                <w:spacing w:val="0"/>
                <w:sz w:val="24"/>
                <w:szCs w:val="24"/>
                <w:lang w:eastAsia="zh-CN"/>
              </w:rPr>
              <w:t>创新实践</w:t>
            </w:r>
            <w:r>
              <w:rPr>
                <w:rFonts w:hint="eastAsia" w:ascii="仿宋_GB2312" w:hAnsi="仿宋_GB2312" w:eastAsia="仿宋_GB2312" w:cs="仿宋_GB2312"/>
                <w:i w:val="0"/>
                <w:iCs w:val="0"/>
                <w:caps w:val="0"/>
                <w:spacing w:val="0"/>
                <w:sz w:val="24"/>
                <w:szCs w:val="24"/>
                <w:lang w:val="en-US" w:eastAsia="zh-CN"/>
              </w:rPr>
              <w:t>研究。</w:t>
            </w:r>
          </w:p>
        </w:tc>
        <w:tc>
          <w:tcPr>
            <w:tcW w:w="1399" w:type="dxa"/>
            <w:vMerge w:val="continue"/>
            <w:noWrap w:val="0"/>
            <w:vAlign w:val="center"/>
          </w:tcPr>
          <w:p w14:paraId="52D0B12A">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5CDFD0BD">
            <w:pPr>
              <w:autoSpaceDE/>
              <w:autoSpaceDN/>
              <w:spacing w:line="0" w:lineRule="atLeast"/>
              <w:jc w:val="center"/>
              <w:rPr>
                <w:rFonts w:hint="eastAsia" w:ascii="仿宋_GB2312" w:hAnsi="仿宋_GB2312" w:eastAsia="仿宋_GB2312" w:cs="仿宋_GB2312"/>
                <w:kern w:val="2"/>
                <w:sz w:val="24"/>
                <w:szCs w:val="24"/>
                <w:lang w:eastAsia="zh-CN"/>
              </w:rPr>
            </w:pPr>
          </w:p>
        </w:tc>
      </w:tr>
      <w:tr w14:paraId="7223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79CAA42">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55</w:t>
            </w:r>
          </w:p>
        </w:tc>
        <w:tc>
          <w:tcPr>
            <w:tcW w:w="2276" w:type="dxa"/>
            <w:noWrap w:val="0"/>
            <w:vAlign w:val="center"/>
          </w:tcPr>
          <w:p w14:paraId="51154B16">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建设广东新型高端教育智库的路径研究</w:t>
            </w:r>
          </w:p>
        </w:tc>
        <w:tc>
          <w:tcPr>
            <w:tcW w:w="4155" w:type="dxa"/>
            <w:noWrap w:val="0"/>
            <w:vAlign w:val="center"/>
          </w:tcPr>
          <w:p w14:paraId="5E0CF502">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bidi="ar"/>
              </w:rPr>
              <w:t>为了深入推进广东</w:t>
            </w:r>
            <w:r>
              <w:rPr>
                <w:rFonts w:hint="eastAsia" w:ascii="仿宋_GB2312" w:hAnsi="仿宋_GB2312" w:eastAsia="仿宋_GB2312" w:cs="仿宋_GB2312"/>
                <w:kern w:val="0"/>
                <w:sz w:val="24"/>
                <w:szCs w:val="24"/>
                <w:lang w:eastAsia="zh-CN" w:bidi="ar"/>
              </w:rPr>
              <w:t>新型高端教育智库建设的体制机制改革，</w:t>
            </w:r>
            <w:r>
              <w:rPr>
                <w:rFonts w:hint="eastAsia" w:ascii="仿宋_GB2312" w:hAnsi="仿宋_GB2312" w:eastAsia="仿宋_GB2312" w:cs="仿宋_GB2312"/>
                <w:kern w:val="0"/>
                <w:sz w:val="24"/>
                <w:szCs w:val="24"/>
                <w:lang w:val="en-US" w:eastAsia="zh-CN" w:bidi="ar"/>
              </w:rPr>
              <w:t>提高其政策分析和政策研究的精准性，需要进一步深入研究新型高端教育智库的路径问题。</w:t>
            </w:r>
          </w:p>
        </w:tc>
        <w:tc>
          <w:tcPr>
            <w:tcW w:w="3679" w:type="dxa"/>
            <w:noWrap w:val="0"/>
            <w:vAlign w:val="center"/>
          </w:tcPr>
          <w:p w14:paraId="0913FC62">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right="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研究内容包括但不局限于以下四点：</w:t>
            </w:r>
          </w:p>
          <w:p w14:paraId="1ADC9B18">
            <w:pPr>
              <w:keepNext w:val="0"/>
              <w:keepLines w:val="0"/>
              <w:pageBreakBefore w:val="0"/>
              <w:widowControl/>
              <w:shd w:val="clear" w:color="auto" w:fill="auto"/>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w:t>
            </w:r>
            <w:r>
              <w:rPr>
                <w:rFonts w:hint="eastAsia" w:ascii="仿宋_GB2312" w:hAnsi="仿宋_GB2312" w:eastAsia="仿宋_GB2312" w:cs="仿宋_GB2312"/>
                <w:kern w:val="0"/>
                <w:sz w:val="24"/>
                <w:szCs w:val="24"/>
                <w:lang w:val="en-US" w:eastAsia="zh-CN" w:bidi="ar"/>
              </w:rPr>
              <w:t>新型高端教育智库建设现状和特点</w:t>
            </w:r>
            <w:r>
              <w:rPr>
                <w:rFonts w:hint="eastAsia" w:ascii="仿宋_GB2312" w:hAnsi="仿宋_GB2312" w:eastAsia="仿宋_GB2312" w:cs="仿宋_GB2312"/>
                <w:sz w:val="24"/>
                <w:szCs w:val="24"/>
                <w:lang w:val="en-US" w:eastAsia="zh-CN" w:bidi="ar"/>
              </w:rPr>
              <w:t>；</w:t>
            </w:r>
          </w:p>
          <w:p w14:paraId="6D8EF720">
            <w:pPr>
              <w:keepNext w:val="0"/>
              <w:keepLines w:val="0"/>
              <w:pageBreakBefore w:val="0"/>
              <w:widowControl/>
              <w:shd w:val="clear" w:color="auto" w:fill="auto"/>
              <w:kinsoku/>
              <w:wordWrap/>
              <w:overflowPunct/>
              <w:topLinePunct w:val="0"/>
              <w:autoSpaceDE/>
              <w:autoSpaceDN/>
              <w:bidi w:val="0"/>
              <w:adjustRightInd/>
              <w:snapToGrid/>
              <w:spacing w:line="0" w:lineRule="atLeast"/>
              <w:ind w:right="0" w:righ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2.如何构建</w:t>
            </w:r>
            <w:r>
              <w:rPr>
                <w:rFonts w:hint="eastAsia" w:ascii="仿宋_GB2312" w:hAnsi="仿宋_GB2312" w:eastAsia="仿宋_GB2312" w:cs="仿宋_GB2312"/>
                <w:kern w:val="0"/>
                <w:sz w:val="24"/>
                <w:szCs w:val="24"/>
                <w:lang w:val="en-US" w:eastAsia="zh-CN" w:bidi="ar"/>
              </w:rPr>
              <w:t>新型高端教育智库的政策、制度支持体系；</w:t>
            </w:r>
          </w:p>
          <w:p w14:paraId="22B1EF08">
            <w:pPr>
              <w:keepNext w:val="0"/>
              <w:keepLines w:val="0"/>
              <w:pageBreakBefore w:val="0"/>
              <w:widowControl/>
              <w:shd w:val="clear" w:color="auto" w:fill="auto"/>
              <w:kinsoku/>
              <w:wordWrap/>
              <w:overflowPunct/>
              <w:topLinePunct w:val="0"/>
              <w:autoSpaceDE/>
              <w:autoSpaceDN/>
              <w:bidi w:val="0"/>
              <w:adjustRightInd/>
              <w:snapToGrid/>
              <w:spacing w:line="0" w:lineRule="atLeast"/>
              <w:ind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bidi="ar"/>
              </w:rPr>
              <w:t>3.如何建设支撑</w:t>
            </w:r>
            <w:r>
              <w:rPr>
                <w:rFonts w:hint="eastAsia" w:ascii="仿宋_GB2312" w:hAnsi="仿宋_GB2312" w:eastAsia="仿宋_GB2312" w:cs="仿宋_GB2312"/>
                <w:kern w:val="0"/>
                <w:sz w:val="24"/>
                <w:szCs w:val="24"/>
                <w:lang w:val="en-US" w:eastAsia="zh-CN" w:bidi="ar"/>
              </w:rPr>
              <w:t>新型高端教育智库的资源库和人才队伍；</w:t>
            </w:r>
          </w:p>
          <w:p w14:paraId="1B62B904">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bidi="ar"/>
              </w:rPr>
              <w:t>4.如何提升新型高端教育智库的研究质量和水平。</w:t>
            </w:r>
          </w:p>
        </w:tc>
        <w:tc>
          <w:tcPr>
            <w:tcW w:w="1399" w:type="dxa"/>
            <w:vMerge w:val="continue"/>
            <w:noWrap w:val="0"/>
            <w:vAlign w:val="center"/>
          </w:tcPr>
          <w:p w14:paraId="146BCC8F">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1CF5CFEC">
            <w:pPr>
              <w:autoSpaceDE/>
              <w:autoSpaceDN/>
              <w:spacing w:line="0" w:lineRule="atLeast"/>
              <w:jc w:val="center"/>
              <w:rPr>
                <w:rFonts w:hint="eastAsia" w:ascii="仿宋_GB2312" w:hAnsi="仿宋_GB2312" w:eastAsia="仿宋_GB2312" w:cs="仿宋_GB2312"/>
                <w:kern w:val="2"/>
                <w:sz w:val="24"/>
                <w:szCs w:val="24"/>
                <w:lang w:eastAsia="zh-CN"/>
              </w:rPr>
            </w:pPr>
          </w:p>
        </w:tc>
      </w:tr>
      <w:tr w14:paraId="522E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30" w:type="dxa"/>
            <w:noWrap w:val="0"/>
            <w:vAlign w:val="center"/>
          </w:tcPr>
          <w:p w14:paraId="57F77164">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w:t>
            </w:r>
            <w:r>
              <w:rPr>
                <w:rFonts w:hint="eastAsia" w:ascii="仿宋_GB2312" w:hAnsi="仿宋_GB2312" w:eastAsia="仿宋_GB2312" w:cs="仿宋_GB2312"/>
                <w:kern w:val="2"/>
                <w:sz w:val="24"/>
                <w:szCs w:val="24"/>
                <w:lang w:val="en-US" w:eastAsia="zh-CN"/>
              </w:rPr>
              <w:t>6</w:t>
            </w:r>
          </w:p>
        </w:tc>
        <w:tc>
          <w:tcPr>
            <w:tcW w:w="2276" w:type="dxa"/>
            <w:noWrap w:val="0"/>
            <w:vAlign w:val="center"/>
          </w:tcPr>
          <w:p w14:paraId="71826925">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广东省初中学业水平考试理化生实验操作考试场室装备配置研究</w:t>
            </w:r>
          </w:p>
        </w:tc>
        <w:tc>
          <w:tcPr>
            <w:tcW w:w="4155" w:type="dxa"/>
            <w:noWrap w:val="0"/>
            <w:vAlign w:val="center"/>
          </w:tcPr>
          <w:p w14:paraId="18421066">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规范全省各地市中考实验操作考试考场硬件条件配置，实现规范化、标准化，保障考试公平、公正、安全、高效。</w:t>
            </w:r>
          </w:p>
        </w:tc>
        <w:tc>
          <w:tcPr>
            <w:tcW w:w="3679" w:type="dxa"/>
            <w:noWrap w:val="0"/>
            <w:vAlign w:val="center"/>
          </w:tcPr>
          <w:p w14:paraId="28015F21">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包括建设背景、目标、原则，适用范围，规范依据，场室整体要求、理化生学科的考试场室基本要求、理化生学科的信息化装备和考试仪器设备配置要求。</w:t>
            </w:r>
          </w:p>
        </w:tc>
        <w:tc>
          <w:tcPr>
            <w:tcW w:w="1399" w:type="dxa"/>
            <w:noWrap w:val="0"/>
            <w:vAlign w:val="center"/>
          </w:tcPr>
          <w:p w14:paraId="57B0B7BD">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eastAsia="zh-CN" w:bidi="ar"/>
              </w:rPr>
              <w:t>020-87627524</w:t>
            </w:r>
          </w:p>
          <w:p w14:paraId="69980610">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restart"/>
            <w:noWrap w:val="0"/>
            <w:vAlign w:val="center"/>
          </w:tcPr>
          <w:p w14:paraId="2E352BEA">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教育装备中心</w:t>
            </w:r>
          </w:p>
        </w:tc>
      </w:tr>
      <w:tr w14:paraId="43F4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4591E72">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57</w:t>
            </w:r>
          </w:p>
        </w:tc>
        <w:tc>
          <w:tcPr>
            <w:tcW w:w="2276" w:type="dxa"/>
            <w:noWrap w:val="0"/>
            <w:vAlign w:val="center"/>
          </w:tcPr>
          <w:p w14:paraId="03AF29B8">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教育强省背景下中小学图书馆馆员专业成长体系建设研究</w:t>
            </w:r>
          </w:p>
        </w:tc>
        <w:tc>
          <w:tcPr>
            <w:tcW w:w="4155" w:type="dxa"/>
            <w:noWrap w:val="0"/>
            <w:vAlign w:val="center"/>
          </w:tcPr>
          <w:p w14:paraId="03BF73A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选题紧密围绕教育强省“新强师工程”，将中小学图书馆馆员视为参与教育教学的重要师资，建设馆员专业成长体系，为馆员的专业能力提升和专业成长提供政策建议，助力我省青少年读书行动和书香校园建设的高质量发展。</w:t>
            </w:r>
          </w:p>
        </w:tc>
        <w:tc>
          <w:tcPr>
            <w:tcW w:w="3679" w:type="dxa"/>
            <w:noWrap w:val="0"/>
            <w:vAlign w:val="center"/>
          </w:tcPr>
          <w:p w14:paraId="5F99626E">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系统梳理中小学教师专业成长的政策体系，剖析馆员队伍建设和专业成长的政策空间和存在的漏洞；</w:t>
            </w:r>
          </w:p>
          <w:p w14:paraId="1CAC698C">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走访各级各类学校，调研我省中小学图书馆馆员专业成长的实践现状及存在的问题；</w:t>
            </w:r>
          </w:p>
          <w:p w14:paraId="70A5A0B8">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结合我省中小学图书馆馆员专业成长的典型案例，设计一个科学的中小学图书馆馆员成长体系和一份可行的行动方案。</w:t>
            </w:r>
          </w:p>
        </w:tc>
        <w:tc>
          <w:tcPr>
            <w:tcW w:w="1399" w:type="dxa"/>
            <w:noWrap w:val="0"/>
            <w:vAlign w:val="center"/>
          </w:tcPr>
          <w:p w14:paraId="61CA58AE">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020-87616291</w:t>
            </w:r>
          </w:p>
        </w:tc>
        <w:tc>
          <w:tcPr>
            <w:tcW w:w="1378" w:type="dxa"/>
            <w:vMerge w:val="continue"/>
            <w:noWrap w:val="0"/>
            <w:vAlign w:val="center"/>
          </w:tcPr>
          <w:p w14:paraId="5A302FA4">
            <w:pPr>
              <w:autoSpaceDE/>
              <w:autoSpaceDN/>
              <w:spacing w:line="0" w:lineRule="atLeast"/>
              <w:jc w:val="center"/>
              <w:rPr>
                <w:rFonts w:hint="eastAsia" w:ascii="仿宋_GB2312" w:hAnsi="仿宋_GB2312" w:eastAsia="仿宋_GB2312" w:cs="仿宋_GB2312"/>
                <w:kern w:val="2"/>
                <w:sz w:val="24"/>
                <w:szCs w:val="24"/>
                <w:lang w:eastAsia="zh-CN"/>
              </w:rPr>
            </w:pPr>
          </w:p>
        </w:tc>
      </w:tr>
      <w:tr w14:paraId="5630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6DB2FB8">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58</w:t>
            </w:r>
          </w:p>
        </w:tc>
        <w:tc>
          <w:tcPr>
            <w:tcW w:w="2276" w:type="dxa"/>
            <w:noWrap w:val="0"/>
            <w:vAlign w:val="center"/>
          </w:tcPr>
          <w:p w14:paraId="2B5B0AF1">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广东省普通高等学校实验室安全建设和治理能力提升课题研究</w:t>
            </w:r>
          </w:p>
        </w:tc>
        <w:tc>
          <w:tcPr>
            <w:tcW w:w="4155" w:type="dxa"/>
            <w:noWrap w:val="0"/>
            <w:vAlign w:val="center"/>
          </w:tcPr>
          <w:p w14:paraId="1B48D68B">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牢固树立体系观念，系统推进高校实验室安全建设，可筑牢安全防线，防控实验室风险，保障师生安全，助力教育系统安全与可持续发展。。</w:t>
            </w:r>
          </w:p>
        </w:tc>
        <w:tc>
          <w:tcPr>
            <w:tcW w:w="3679" w:type="dxa"/>
            <w:noWrap w:val="0"/>
            <w:vAlign w:val="center"/>
          </w:tcPr>
          <w:p w14:paraId="0D28A466">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1</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建立和完善实验室安全制度体系、标准体系、教育体系。</w:t>
            </w:r>
          </w:p>
          <w:p w14:paraId="61662AE5">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2</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强化危险化学品与废弃物全周期管控。</w:t>
            </w:r>
          </w:p>
          <w:p w14:paraId="6AF72466">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3</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实验室安全专业人才队伍建设和安全教育培训。</w:t>
            </w:r>
          </w:p>
          <w:p w14:paraId="01D06FBF">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4</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提高实验室安全管理信息化水平。</w:t>
            </w:r>
          </w:p>
          <w:p w14:paraId="7AB76827">
            <w:pPr>
              <w:widowControl/>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kern w:val="2"/>
                <w:sz w:val="24"/>
                <w:szCs w:val="24"/>
                <w:lang w:eastAsia="zh-CN" w:bidi="ar"/>
              </w:rPr>
              <w:t>5</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广东特色的实验室安全文化建设。</w:t>
            </w:r>
          </w:p>
        </w:tc>
        <w:tc>
          <w:tcPr>
            <w:tcW w:w="1399" w:type="dxa"/>
            <w:vMerge w:val="restart"/>
            <w:noWrap w:val="0"/>
            <w:vAlign w:val="center"/>
          </w:tcPr>
          <w:p w14:paraId="0EA94CA0">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020-87606435</w:t>
            </w:r>
          </w:p>
        </w:tc>
        <w:tc>
          <w:tcPr>
            <w:tcW w:w="1378" w:type="dxa"/>
            <w:vMerge w:val="continue"/>
            <w:noWrap w:val="0"/>
            <w:vAlign w:val="center"/>
          </w:tcPr>
          <w:p w14:paraId="06358B80">
            <w:pPr>
              <w:autoSpaceDE/>
              <w:autoSpaceDN/>
              <w:spacing w:line="0" w:lineRule="atLeast"/>
              <w:jc w:val="center"/>
              <w:rPr>
                <w:rFonts w:hint="eastAsia" w:ascii="仿宋_GB2312" w:hAnsi="仿宋_GB2312" w:eastAsia="仿宋_GB2312" w:cs="仿宋_GB2312"/>
                <w:kern w:val="2"/>
                <w:sz w:val="24"/>
                <w:szCs w:val="24"/>
                <w:lang w:eastAsia="zh-CN"/>
              </w:rPr>
            </w:pPr>
          </w:p>
        </w:tc>
      </w:tr>
      <w:tr w14:paraId="7A43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F9D6BE4">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59</w:t>
            </w:r>
          </w:p>
        </w:tc>
        <w:tc>
          <w:tcPr>
            <w:tcW w:w="2276" w:type="dxa"/>
            <w:noWrap w:val="0"/>
            <w:vAlign w:val="center"/>
          </w:tcPr>
          <w:p w14:paraId="50C2438F">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广东省中小学校实验室安全规范化管理课题研究</w:t>
            </w:r>
          </w:p>
        </w:tc>
        <w:tc>
          <w:tcPr>
            <w:tcW w:w="4155" w:type="dxa"/>
            <w:noWrap w:val="0"/>
            <w:vAlign w:val="center"/>
          </w:tcPr>
          <w:p w14:paraId="0AE4A817">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研究中小学实验室安全规范化管理，完善安全防护体系，降低实验风险，提升人员专业能力，筑牢实验室安全底线，守护师生安全。</w:t>
            </w:r>
          </w:p>
        </w:tc>
        <w:tc>
          <w:tcPr>
            <w:tcW w:w="3679" w:type="dxa"/>
            <w:noWrap w:val="0"/>
            <w:vAlign w:val="center"/>
          </w:tcPr>
          <w:p w14:paraId="034B6E8B">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1</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实验室安全设施设备的配备、使用与管理。</w:t>
            </w:r>
          </w:p>
          <w:p w14:paraId="02D3E58C">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2</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危险化学品和危险废弃物全流程安全管理。</w:t>
            </w:r>
          </w:p>
          <w:p w14:paraId="10ED7307">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3</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实验室安全管理人员教育培训。</w:t>
            </w:r>
          </w:p>
          <w:p w14:paraId="4FCDE1F1">
            <w:pPr>
              <w:widowControl/>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kern w:val="2"/>
                <w:sz w:val="24"/>
                <w:szCs w:val="24"/>
                <w:lang w:eastAsia="zh-CN" w:bidi="ar"/>
              </w:rPr>
              <w:t>4</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实验教学及学生实验安全规范管理、安全指南和案例分析。</w:t>
            </w:r>
          </w:p>
        </w:tc>
        <w:tc>
          <w:tcPr>
            <w:tcW w:w="1399" w:type="dxa"/>
            <w:vMerge w:val="continue"/>
            <w:noWrap w:val="0"/>
            <w:vAlign w:val="center"/>
          </w:tcPr>
          <w:p w14:paraId="76033292">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0CFC2FDE">
            <w:pPr>
              <w:autoSpaceDE/>
              <w:autoSpaceDN/>
              <w:spacing w:line="0" w:lineRule="atLeast"/>
              <w:jc w:val="center"/>
              <w:rPr>
                <w:rFonts w:hint="eastAsia" w:ascii="仿宋_GB2312" w:hAnsi="仿宋_GB2312" w:eastAsia="仿宋_GB2312" w:cs="仿宋_GB2312"/>
                <w:kern w:val="2"/>
                <w:sz w:val="24"/>
                <w:szCs w:val="24"/>
                <w:lang w:eastAsia="zh-CN"/>
              </w:rPr>
            </w:pPr>
          </w:p>
        </w:tc>
      </w:tr>
      <w:tr w14:paraId="1416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DB1C91B">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60</w:t>
            </w:r>
          </w:p>
        </w:tc>
        <w:tc>
          <w:tcPr>
            <w:tcW w:w="2276" w:type="dxa"/>
            <w:noWrap w:val="0"/>
            <w:vAlign w:val="center"/>
          </w:tcPr>
          <w:p w14:paraId="32DFD2B6">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人工智能教育装备的创新应用</w:t>
            </w:r>
          </w:p>
        </w:tc>
        <w:tc>
          <w:tcPr>
            <w:tcW w:w="4155" w:type="dxa"/>
            <w:noWrap w:val="0"/>
            <w:vAlign w:val="center"/>
          </w:tcPr>
          <w:p w14:paraId="5F82D9B2">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满足教育现代化需求，提升教育质量，培养适应时代发展的人才。</w:t>
            </w:r>
          </w:p>
        </w:tc>
        <w:tc>
          <w:tcPr>
            <w:tcW w:w="3679" w:type="dxa"/>
            <w:noWrap w:val="0"/>
            <w:vAlign w:val="center"/>
          </w:tcPr>
          <w:p w14:paraId="79A9F5B6">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探索人工智能教育装备在教学模式创新、个性化学习支持、教育资源优化配置等方面的应用，通过实践研究，构建高效、智能的教育生态系统，促进教育公平，提高教育效率，为学生提供更加丰富、多元的学习体验。</w:t>
            </w:r>
          </w:p>
        </w:tc>
        <w:tc>
          <w:tcPr>
            <w:tcW w:w="1399" w:type="dxa"/>
            <w:noWrap w:val="0"/>
            <w:vAlign w:val="center"/>
          </w:tcPr>
          <w:p w14:paraId="6C9D3E1A">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020-87627524</w:t>
            </w:r>
          </w:p>
        </w:tc>
        <w:tc>
          <w:tcPr>
            <w:tcW w:w="1378" w:type="dxa"/>
            <w:vMerge w:val="continue"/>
            <w:noWrap w:val="0"/>
            <w:vAlign w:val="center"/>
          </w:tcPr>
          <w:p w14:paraId="4EBBEF4B">
            <w:pPr>
              <w:autoSpaceDE/>
              <w:autoSpaceDN/>
              <w:spacing w:line="0" w:lineRule="atLeast"/>
              <w:jc w:val="center"/>
              <w:rPr>
                <w:rFonts w:hint="eastAsia" w:ascii="仿宋_GB2312" w:hAnsi="仿宋_GB2312" w:eastAsia="仿宋_GB2312" w:cs="仿宋_GB2312"/>
                <w:kern w:val="2"/>
                <w:sz w:val="24"/>
                <w:szCs w:val="24"/>
                <w:lang w:eastAsia="zh-CN"/>
              </w:rPr>
            </w:pPr>
          </w:p>
        </w:tc>
      </w:tr>
      <w:tr w14:paraId="20CB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0" w:type="dxa"/>
            <w:noWrap w:val="0"/>
            <w:vAlign w:val="center"/>
          </w:tcPr>
          <w:p w14:paraId="118F0AF4">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w:t>
            </w:r>
            <w:r>
              <w:rPr>
                <w:rFonts w:hint="eastAsia" w:ascii="仿宋_GB2312" w:hAnsi="仿宋_GB2312" w:eastAsia="仿宋_GB2312" w:cs="仿宋_GB2312"/>
                <w:kern w:val="2"/>
                <w:sz w:val="24"/>
                <w:szCs w:val="24"/>
                <w:lang w:val="en-US" w:eastAsia="zh-CN" w:bidi="ar"/>
              </w:rPr>
              <w:t>1</w:t>
            </w:r>
          </w:p>
        </w:tc>
        <w:tc>
          <w:tcPr>
            <w:tcW w:w="2276" w:type="dxa"/>
            <w:noWrap w:val="0"/>
            <w:vAlign w:val="center"/>
          </w:tcPr>
          <w:p w14:paraId="00BEAF0D">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数智赋能下教师数字素养发展</w:t>
            </w:r>
          </w:p>
        </w:tc>
        <w:tc>
          <w:tcPr>
            <w:tcW w:w="4155" w:type="dxa"/>
            <w:noWrap w:val="0"/>
            <w:vAlign w:val="center"/>
          </w:tcPr>
          <w:p w14:paraId="0F8340A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 xml:space="preserve">推进国家中小学智慧教育平台全域全员全流程在教育教学中的常态化、规模化、深度化应用，生成式人工智能在优化教学流程、提升教学效益，推动知识传授向能力培养的转变，促进教师数字素养能力的提升。 </w:t>
            </w:r>
          </w:p>
        </w:tc>
        <w:tc>
          <w:tcPr>
            <w:tcW w:w="3679" w:type="dxa"/>
            <w:noWrap w:val="0"/>
            <w:vAlign w:val="center"/>
          </w:tcPr>
          <w:p w14:paraId="3A227341">
            <w:pPr>
              <w:numPr>
                <w:ilvl w:val="0"/>
                <w:numId w:val="5"/>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数智赋能教育促进团队发展的理论研究；</w:t>
            </w:r>
          </w:p>
          <w:p w14:paraId="2D1F629F">
            <w:pPr>
              <w:numPr>
                <w:ilvl w:val="0"/>
                <w:numId w:val="6"/>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调研研究制约教师数字素养发展的因素，研究实施路径与方法；</w:t>
            </w:r>
          </w:p>
          <w:p w14:paraId="4704C796">
            <w:pPr>
              <w:numPr>
                <w:ilvl w:val="0"/>
                <w:numId w:val="7"/>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数智赋能下教师数字素养提升的实施策略和机制；</w:t>
            </w:r>
          </w:p>
          <w:p w14:paraId="5EC7254B">
            <w:pPr>
              <w:numPr>
                <w:ilvl w:val="0"/>
                <w:numId w:val="8"/>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教师数字素养应用能力的普及化提升模式；</w:t>
            </w:r>
          </w:p>
          <w:p w14:paraId="6B8FF137">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5.基于国家中小学智慧教育平台的本土化特色应用。</w:t>
            </w:r>
          </w:p>
        </w:tc>
        <w:tc>
          <w:tcPr>
            <w:tcW w:w="1399" w:type="dxa"/>
            <w:vMerge w:val="restart"/>
            <w:noWrap w:val="0"/>
            <w:vAlign w:val="center"/>
          </w:tcPr>
          <w:p w14:paraId="6D5C7EF9">
            <w:pPr>
              <w:autoSpaceDE/>
              <w:spacing w:line="0" w:lineRule="atLeast"/>
              <w:jc w:val="center"/>
              <w:rPr>
                <w:rFonts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020-84414903</w:t>
            </w:r>
          </w:p>
        </w:tc>
        <w:tc>
          <w:tcPr>
            <w:tcW w:w="1378" w:type="dxa"/>
            <w:vMerge w:val="restart"/>
            <w:noWrap w:val="0"/>
            <w:vAlign w:val="center"/>
          </w:tcPr>
          <w:p w14:paraId="78A8737E">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事务中心</w:t>
            </w:r>
          </w:p>
        </w:tc>
      </w:tr>
      <w:tr w14:paraId="15AB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4EB8797">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w:t>
            </w:r>
            <w:r>
              <w:rPr>
                <w:rFonts w:hint="eastAsia" w:ascii="仿宋_GB2312" w:hAnsi="仿宋_GB2312" w:eastAsia="仿宋_GB2312" w:cs="仿宋_GB2312"/>
                <w:kern w:val="2"/>
                <w:sz w:val="24"/>
                <w:szCs w:val="24"/>
                <w:lang w:val="en-US" w:eastAsia="zh-CN" w:bidi="ar"/>
              </w:rPr>
              <w:t>2</w:t>
            </w:r>
          </w:p>
        </w:tc>
        <w:tc>
          <w:tcPr>
            <w:tcW w:w="2276" w:type="dxa"/>
            <w:noWrap w:val="0"/>
            <w:vAlign w:val="center"/>
          </w:tcPr>
          <w:p w14:paraId="0E4EB734">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学生科创能力培养</w:t>
            </w:r>
          </w:p>
        </w:tc>
        <w:tc>
          <w:tcPr>
            <w:tcW w:w="4155" w:type="dxa"/>
            <w:noWrap w:val="0"/>
            <w:vAlign w:val="center"/>
          </w:tcPr>
          <w:p w14:paraId="26FF3AE5">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本选题紧扣国家教育数字化战略与以人工智能为主的信息科技工作部署，聚焦“立德树人”根本任务。旨在破解当前学生信息科技创新实践能力薄弱的问题，通过系统化培养路径设计，加速核心素养落地，为培养未来科技领军人才奠基，服务创新驱动发展战略需求。</w:t>
            </w:r>
          </w:p>
        </w:tc>
        <w:tc>
          <w:tcPr>
            <w:tcW w:w="3679" w:type="dxa"/>
            <w:noWrap w:val="0"/>
            <w:vAlign w:val="center"/>
          </w:tcPr>
          <w:p w14:paraId="510C9266">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研究学生科创能力培养的理论框架与实施路径；根据《广东省中小学生人工智能素养框架（试行））》从意识理念、知识技能、实践应用、专业发展、社会责任研究学生科创能力培养的新课堂、新课程；跟踪科创活动对学生科创能力与职业发展的影响；调查科创活动的区域发展情况；课内课外学生科创活动的校本化特色化发展； 学生科创能力的评价体系构建；学生科创能力区域推广的培养范式。</w:t>
            </w:r>
          </w:p>
        </w:tc>
        <w:tc>
          <w:tcPr>
            <w:tcW w:w="1399" w:type="dxa"/>
            <w:vMerge w:val="continue"/>
            <w:noWrap w:val="0"/>
            <w:vAlign w:val="center"/>
          </w:tcPr>
          <w:p w14:paraId="45715A19">
            <w:pPr>
              <w:autoSpaceDE/>
              <w:spacing w:line="0" w:lineRule="atLeast"/>
              <w:jc w:val="center"/>
              <w:rPr>
                <w:rFonts w:hint="eastAsia" w:ascii="仿宋_GB2312" w:hAnsi="仿宋_GB2312" w:eastAsia="仿宋_GB2312" w:cs="仿宋_GB2312"/>
                <w:sz w:val="24"/>
                <w:szCs w:val="24"/>
                <w:lang w:eastAsia="zh-CN" w:bidi="ar"/>
              </w:rPr>
            </w:pPr>
          </w:p>
        </w:tc>
        <w:tc>
          <w:tcPr>
            <w:tcW w:w="1378" w:type="dxa"/>
            <w:vMerge w:val="continue"/>
            <w:noWrap w:val="0"/>
            <w:vAlign w:val="center"/>
          </w:tcPr>
          <w:p w14:paraId="4FC905E2">
            <w:pPr>
              <w:autoSpaceDE/>
              <w:autoSpaceDN/>
              <w:spacing w:line="0" w:lineRule="atLeast"/>
              <w:jc w:val="center"/>
              <w:rPr>
                <w:rFonts w:hint="eastAsia" w:ascii="仿宋_GB2312" w:hAnsi="仿宋_GB2312" w:eastAsia="仿宋_GB2312" w:cs="仿宋_GB2312"/>
                <w:kern w:val="2"/>
                <w:sz w:val="24"/>
                <w:szCs w:val="24"/>
                <w:lang w:eastAsia="zh-CN"/>
              </w:rPr>
            </w:pPr>
          </w:p>
        </w:tc>
      </w:tr>
    </w:tbl>
    <w:p w14:paraId="058393FE">
      <w:pPr>
        <w:tabs>
          <w:tab w:val="left" w:pos="2595"/>
        </w:tabs>
        <w:rPr>
          <w:rFonts w:hint="eastAsia"/>
          <w:lang w:eastAsia="zh-CN"/>
        </w:rPr>
      </w:pPr>
    </w:p>
    <w:p w14:paraId="5F2B4D17">
      <w:pPr>
        <w:rPr>
          <w:lang w:eastAsia="zh-CN"/>
        </w:rPr>
      </w:pPr>
    </w:p>
    <w:p w14:paraId="3C2BC3A8">
      <w:pPr>
        <w:rPr>
          <w:lang w:eastAsia="zh-CN"/>
        </w:rPr>
      </w:pPr>
    </w:p>
    <w:p w14:paraId="2167CFAF">
      <w:pPr>
        <w:rPr>
          <w:lang w:eastAsia="zh-CN"/>
        </w:rPr>
      </w:pPr>
    </w:p>
    <w:p w14:paraId="2ED5F527">
      <w:pPr>
        <w:rPr>
          <w:lang w:eastAsia="zh-CN"/>
        </w:rPr>
      </w:pPr>
    </w:p>
    <w:p w14:paraId="659FF4C3">
      <w:pPr>
        <w:rPr>
          <w:lang w:eastAsia="zh-CN"/>
        </w:rPr>
      </w:pPr>
    </w:p>
    <w:p w14:paraId="2E259EDC">
      <w:pPr>
        <w:rPr>
          <w:lang w:eastAsia="zh-CN"/>
        </w:rPr>
      </w:pPr>
    </w:p>
    <w:p w14:paraId="3AEA5149">
      <w:pPr>
        <w:rPr>
          <w:lang w:eastAsia="zh-CN"/>
        </w:rPr>
      </w:pPr>
    </w:p>
    <w:p w14:paraId="2868A87C">
      <w:pPr>
        <w:rPr>
          <w:lang w:eastAsia="zh-CN"/>
        </w:rPr>
      </w:pPr>
    </w:p>
    <w:p w14:paraId="2A855125">
      <w:pPr>
        <w:rPr>
          <w:lang w:eastAsia="zh-CN"/>
        </w:rPr>
      </w:pPr>
    </w:p>
    <w:p w14:paraId="75F08135">
      <w:pPr>
        <w:rPr>
          <w:lang w:eastAsia="zh-CN"/>
        </w:rPr>
      </w:pPr>
    </w:p>
    <w:p w14:paraId="76D6CAAD">
      <w:pPr>
        <w:rPr>
          <w:lang w:eastAsia="zh-CN"/>
        </w:rPr>
      </w:pPr>
    </w:p>
    <w:p w14:paraId="5A363722">
      <w:pPr>
        <w:rPr>
          <w:lang w:eastAsia="zh-CN"/>
        </w:rPr>
      </w:pPr>
    </w:p>
    <w:p w14:paraId="41DF04B5">
      <w:pPr>
        <w:rPr>
          <w:lang w:eastAsia="zh-CN"/>
        </w:rPr>
      </w:pPr>
    </w:p>
    <w:p w14:paraId="4255789B">
      <w:pPr>
        <w:rPr>
          <w:lang w:eastAsia="zh-CN"/>
        </w:rPr>
      </w:pPr>
    </w:p>
    <w:p w14:paraId="7BE2ED16">
      <w:pPr>
        <w:rPr>
          <w:lang w:eastAsia="zh-CN"/>
        </w:rPr>
      </w:pPr>
    </w:p>
    <w:p w14:paraId="1B0E310D">
      <w:pPr>
        <w:rPr>
          <w:lang w:eastAsia="zh-CN"/>
        </w:rPr>
      </w:pPr>
    </w:p>
    <w:p w14:paraId="59A58A3E">
      <w:pPr>
        <w:rPr>
          <w:lang w:eastAsia="zh-CN"/>
        </w:rPr>
      </w:pPr>
    </w:p>
    <w:p w14:paraId="51D8D050">
      <w:pPr>
        <w:rPr>
          <w:lang w:eastAsia="zh-CN"/>
        </w:rPr>
      </w:pPr>
    </w:p>
    <w:sectPr>
      <w:footerReference r:id="rId4" w:type="first"/>
      <w:footerReference r:id="rId3" w:type="default"/>
      <w:pgSz w:w="16840" w:h="11910" w:orient="landscape"/>
      <w:pgMar w:top="1587" w:right="2098" w:bottom="1474" w:left="1984" w:header="850" w:footer="158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C00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32C2A">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2CD32C2A">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8D90">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53C1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66153C1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F830C"/>
    <w:multiLevelType w:val="singleLevel"/>
    <w:tmpl w:val="BB2F830C"/>
    <w:lvl w:ilvl="0" w:tentative="0">
      <w:start w:val="2"/>
      <w:numFmt w:val="decimal"/>
      <w:lvlText w:val="%1."/>
      <w:lvlJc w:val="left"/>
      <w:pPr>
        <w:tabs>
          <w:tab w:val="left" w:pos="312"/>
        </w:tabs>
      </w:pPr>
    </w:lvl>
  </w:abstractNum>
  <w:abstractNum w:abstractNumId="1">
    <w:nsid w:val="D0299AA4"/>
    <w:multiLevelType w:val="singleLevel"/>
    <w:tmpl w:val="D0299AA4"/>
    <w:lvl w:ilvl="0" w:tentative="0">
      <w:start w:val="3"/>
      <w:numFmt w:val="decimal"/>
      <w:lvlText w:val="%1."/>
      <w:lvlJc w:val="left"/>
      <w:pPr>
        <w:tabs>
          <w:tab w:val="left" w:pos="312"/>
        </w:tabs>
      </w:pPr>
    </w:lvl>
  </w:abstractNum>
  <w:abstractNum w:abstractNumId="2">
    <w:nsid w:val="2BE1D833"/>
    <w:multiLevelType w:val="singleLevel"/>
    <w:tmpl w:val="2BE1D833"/>
    <w:lvl w:ilvl="0" w:tentative="0">
      <w:start w:val="1"/>
      <w:numFmt w:val="decimal"/>
      <w:lvlText w:val="%1."/>
      <w:lvlJc w:val="left"/>
      <w:pPr>
        <w:tabs>
          <w:tab w:val="left" w:pos="312"/>
        </w:tabs>
      </w:pPr>
    </w:lvl>
  </w:abstractNum>
  <w:abstractNum w:abstractNumId="3">
    <w:nsid w:val="4C1BD89D"/>
    <w:multiLevelType w:val="singleLevel"/>
    <w:tmpl w:val="4C1BD89D"/>
    <w:lvl w:ilvl="0" w:tentative="0">
      <w:start w:val="1"/>
      <w:numFmt w:val="decimal"/>
      <w:lvlText w:val="%1."/>
      <w:lvlJc w:val="left"/>
      <w:pPr>
        <w:tabs>
          <w:tab w:val="left" w:pos="312"/>
        </w:tabs>
      </w:pPr>
    </w:lvl>
  </w:abstractNum>
  <w:abstractNum w:abstractNumId="4">
    <w:nsid w:val="500046A8"/>
    <w:multiLevelType w:val="singleLevel"/>
    <w:tmpl w:val="500046A8"/>
    <w:lvl w:ilvl="0" w:tentative="0">
      <w:start w:val="2"/>
      <w:numFmt w:val="decimal"/>
      <w:lvlText w:val="%1."/>
      <w:lvlJc w:val="left"/>
      <w:pPr>
        <w:tabs>
          <w:tab w:val="left" w:pos="312"/>
        </w:tabs>
      </w:pPr>
    </w:lvl>
  </w:abstractNum>
  <w:abstractNum w:abstractNumId="5">
    <w:nsid w:val="5E235B8A"/>
    <w:multiLevelType w:val="singleLevel"/>
    <w:tmpl w:val="5E235B8A"/>
    <w:lvl w:ilvl="0" w:tentative="0">
      <w:start w:val="4"/>
      <w:numFmt w:val="decimal"/>
      <w:lvlText w:val="%1."/>
      <w:lvlJc w:val="left"/>
      <w:pPr>
        <w:tabs>
          <w:tab w:val="left" w:pos="312"/>
        </w:tabs>
      </w:pPr>
    </w:lvl>
  </w:abstractNum>
  <w:abstractNum w:abstractNumId="6">
    <w:nsid w:val="67AB8896"/>
    <w:multiLevelType w:val="multilevel"/>
    <w:tmpl w:val="67AB889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A823513"/>
    <w:multiLevelType w:val="multilevel"/>
    <w:tmpl w:val="6A82351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6"/>
  </w:num>
  <w:num w:numId="4">
    <w:abstractNumId w:val="7"/>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720"/>
  <w:hyphenationZone w:val="360"/>
  <w:drawingGridHorizontalSpacing w:val="110"/>
  <w:displayHorizontalDrawingGridEvery w:val="1"/>
  <w:displayVerticalDrawingGridEvery w:val="1"/>
  <w:doNotUseMarginsForDrawingGridOrigin w:val="1"/>
  <w:drawingGridHorizontalOrigin w:val="1587"/>
  <w:drawingGridVerticalOrigin w:val="1587"/>
  <w:noPunctuationKerning w:val="1"/>
  <w:characterSpacingControl w:val="doNotCompress"/>
  <w:noLineBreaksAfter w:lang="zh-CN" w:val="([{·‘“〈《「『【〔〖（．［｛￡￥"/>
  <w:noLineBreaksBefore w:lang="zh-CN" w:val="!),.:;?]}¨·ˇˉ―‖’”…∶、。〃々〉》」』】〕〗！＂＇），．：；？］｀｜｝～￠"/>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gds.edu.cn//newoa/missive/kinggridOfficeServer.do?method=officeProcess"/>
  </w:docVars>
  <w:rsids>
    <w:rsidRoot w:val="EB7781F3"/>
    <w:rsid w:val="00C023C0"/>
    <w:rsid w:val="00F3421C"/>
    <w:rsid w:val="02CE1666"/>
    <w:rsid w:val="031A17C8"/>
    <w:rsid w:val="031E138B"/>
    <w:rsid w:val="093E2A38"/>
    <w:rsid w:val="097232BE"/>
    <w:rsid w:val="0D8A2FF1"/>
    <w:rsid w:val="0E3C5F37"/>
    <w:rsid w:val="0E7C0F66"/>
    <w:rsid w:val="0F0A66AF"/>
    <w:rsid w:val="113E7A22"/>
    <w:rsid w:val="13B46541"/>
    <w:rsid w:val="1564650A"/>
    <w:rsid w:val="1EEC66A1"/>
    <w:rsid w:val="22424D76"/>
    <w:rsid w:val="22B5489A"/>
    <w:rsid w:val="25D5185D"/>
    <w:rsid w:val="28631BB8"/>
    <w:rsid w:val="28977D5B"/>
    <w:rsid w:val="2BB10E0C"/>
    <w:rsid w:val="2DE77CC5"/>
    <w:rsid w:val="2E841F9F"/>
    <w:rsid w:val="2F692E55"/>
    <w:rsid w:val="33416152"/>
    <w:rsid w:val="347B7793"/>
    <w:rsid w:val="36AF4EB1"/>
    <w:rsid w:val="371F6687"/>
    <w:rsid w:val="39DF0438"/>
    <w:rsid w:val="3B77ABE4"/>
    <w:rsid w:val="3BFEE5B4"/>
    <w:rsid w:val="3DD22FCF"/>
    <w:rsid w:val="3E77A8D3"/>
    <w:rsid w:val="3FAE0CB4"/>
    <w:rsid w:val="3FBE80FD"/>
    <w:rsid w:val="45BC0B25"/>
    <w:rsid w:val="46F754FA"/>
    <w:rsid w:val="470D43A0"/>
    <w:rsid w:val="47D461FB"/>
    <w:rsid w:val="4B692144"/>
    <w:rsid w:val="4EF158F4"/>
    <w:rsid w:val="4F2F6762"/>
    <w:rsid w:val="50D97486"/>
    <w:rsid w:val="53474CFB"/>
    <w:rsid w:val="56DDF4ED"/>
    <w:rsid w:val="57EB7EC7"/>
    <w:rsid w:val="580A03AC"/>
    <w:rsid w:val="5EC6388D"/>
    <w:rsid w:val="5F161B07"/>
    <w:rsid w:val="5F1D33E3"/>
    <w:rsid w:val="5FB79D02"/>
    <w:rsid w:val="5FEB20D6"/>
    <w:rsid w:val="61890B12"/>
    <w:rsid w:val="62578CB5"/>
    <w:rsid w:val="65975DB9"/>
    <w:rsid w:val="677F1158"/>
    <w:rsid w:val="697C0720"/>
    <w:rsid w:val="6AA90B33"/>
    <w:rsid w:val="6AD981BA"/>
    <w:rsid w:val="6BB021BC"/>
    <w:rsid w:val="6E8056BD"/>
    <w:rsid w:val="6F7F340F"/>
    <w:rsid w:val="747B20B5"/>
    <w:rsid w:val="77EE4AA7"/>
    <w:rsid w:val="77F90DDB"/>
    <w:rsid w:val="7B3E42EA"/>
    <w:rsid w:val="7BBFAF1E"/>
    <w:rsid w:val="7BDFCE9A"/>
    <w:rsid w:val="7BFF1E73"/>
    <w:rsid w:val="7D696410"/>
    <w:rsid w:val="7D9F7D6E"/>
    <w:rsid w:val="7DC31F92"/>
    <w:rsid w:val="7DEBD65D"/>
    <w:rsid w:val="7EB2E580"/>
    <w:rsid w:val="7F272943"/>
    <w:rsid w:val="7F65065D"/>
    <w:rsid w:val="7FAECD16"/>
    <w:rsid w:val="A7FD29EA"/>
    <w:rsid w:val="BF7F3B5B"/>
    <w:rsid w:val="BF7F60EE"/>
    <w:rsid w:val="BFFF9009"/>
    <w:rsid w:val="C77BD9B8"/>
    <w:rsid w:val="D7574CC1"/>
    <w:rsid w:val="DDEE213D"/>
    <w:rsid w:val="E7D3E945"/>
    <w:rsid w:val="EB7781F3"/>
    <w:rsid w:val="F3FFE03E"/>
    <w:rsid w:val="F6F8D76B"/>
    <w:rsid w:val="F7EFB8DB"/>
    <w:rsid w:val="F7FDA9E1"/>
    <w:rsid w:val="FAF73401"/>
    <w:rsid w:val="FCD7CAD1"/>
    <w:rsid w:val="FD781488"/>
    <w:rsid w:val="FDE52A63"/>
    <w:rsid w:val="FE9AB883"/>
    <w:rsid w:val="FFDFDE75"/>
    <w:rsid w:val="FFFD12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eastAsia="Times New Roman"/>
      <w:sz w:val="22"/>
      <w:szCs w:val="22"/>
      <w:lang w:val="en-US" w:eastAsia="en-US"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8"/>
      <w:tblCellMar>
        <w:top w:w="0" w:type="dxa"/>
        <w:left w:w="108" w:type="dxa"/>
        <w:bottom w:w="0" w:type="dxa"/>
        <w:right w:w="108" w:type="dxa"/>
      </w:tblCellMar>
    </w:tblPr>
  </w:style>
  <w:style w:type="paragraph" w:styleId="2">
    <w:name w:val="footnote text"/>
    <w:basedOn w:val="1"/>
    <w:link w:val="12"/>
    <w:qFormat/>
    <w:uiPriority w:val="0"/>
    <w:pPr>
      <w:keepNext w:val="0"/>
      <w:keepLines w:val="0"/>
      <w:widowControl w:val="0"/>
      <w:suppressLineNumbers w:val="0"/>
      <w:autoSpaceDE w:val="0"/>
      <w:autoSpaceDN w:val="0"/>
      <w:snapToGrid w:val="0"/>
      <w:spacing w:before="0" w:beforeAutospacing="0" w:after="0" w:afterAutospacing="0"/>
      <w:ind w:left="0" w:right="0"/>
      <w:jc w:val="left"/>
    </w:pPr>
    <w:rPr>
      <w:rFonts w:hint="default" w:ascii="Times New Roman" w:hAnsi="Times New Roman" w:eastAsia="Times New Roman" w:cs="Times New Roman"/>
      <w:kern w:val="0"/>
      <w:sz w:val="18"/>
      <w:szCs w:val="22"/>
      <w:lang w:val="en-US" w:eastAsia="zh-CN" w:bidi="ar"/>
    </w:rPr>
  </w:style>
  <w:style w:type="paragraph" w:styleId="4">
    <w:name w:val="Body Text"/>
    <w:basedOn w:val="1"/>
    <w:qFormat/>
    <w:uiPriority w:val="1"/>
    <w:rPr>
      <w:rFonts w:ascii="Times New Roman" w:hAnsi="Times New Roman" w:eastAsia="Times New Roman"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customStyle="1" w:styleId="12">
    <w:name w:val="脚注文本 字符"/>
    <w:link w:val="2"/>
    <w:uiPriority w:val="0"/>
    <w:rPr>
      <w:kern w:val="2"/>
      <w:sz w:val="18"/>
      <w:szCs w:val="18"/>
    </w:rPr>
  </w:style>
  <w:style w:type="character" w:customStyle="1" w:styleId="13">
    <w:name w:val="标题 1 字符"/>
    <w:link w:val="3"/>
    <w:uiPriority w:val="0"/>
    <w:rPr>
      <w:rFonts w:ascii="Calibri Light" w:hAnsi="Calibri Light" w:eastAsia="宋体" w:cs="Times New Roman"/>
      <w:color w:val="2E74B5"/>
      <w:sz w:val="48"/>
      <w:szCs w:val="48"/>
      <w:lang w:eastAsia="en-US"/>
    </w:rPr>
  </w:style>
  <w:style w:type="table" w:customStyle="1" w:styleId="14">
    <w:name w:val="Table Normal"/>
    <w:basedOn w:val="8"/>
    <w:unhideWhenUsed/>
    <w:qFormat/>
    <w:uiPriority w:val="2"/>
    <w:tblPr>
      <w:tblStyle w:val="8"/>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Table Text"/>
    <w:basedOn w:val="1"/>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ascii="Arial" w:hAnsi="Arial" w:eastAsia="Arial" w:cs="Arial"/>
      <w:snapToGrid/>
      <w:color w:val="000000"/>
      <w:kern w:val="0"/>
      <w:sz w:val="21"/>
      <w:szCs w:val="21"/>
      <w:lang w:val="en-US" w:eastAsia="zh-CN" w:bidi="ar"/>
    </w:rPr>
  </w:style>
  <w:style w:type="paragraph" w:styleId="18">
    <w:name w:val=""/>
    <w:unhideWhenUsed/>
    <w:uiPriority w:val="99"/>
    <w:rPr>
      <w:rFonts w:eastAsia="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os\Downloads\&#24191;&#19996;&#30465;&#25945;&#32946;&#21381;A4&#20415;&#316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广东省教育厅A4便签.wpt</Template>
  <Pages>25</Pages>
  <Words>15420</Words>
  <Characters>16068</Characters>
  <Lines>104</Lines>
  <Paragraphs>29</Paragraphs>
  <TotalTime>13.6666666666667</TotalTime>
  <ScaleCrop>false</ScaleCrop>
  <LinksUpToDate>false</LinksUpToDate>
  <CharactersWithSpaces>16080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2025-06-19T00:27:00Z</dcterms:created>
  <dc:creator>uos</dc:creator>
  <cp:lastModifiedBy>Ruby</cp:lastModifiedBy>
  <cp:lastPrinted>2024-04-28T03:11:00Z</cp:lastPrinted>
  <dcterms:modified xsi:type="dcterms:W3CDTF">2025-07-02T08:58:03Z</dcterms:modified>
  <dc:title>附件1：广东省2025年度教育科学规划课题（教育综合改革专项）选题指引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2021-12-03T08:00:00Z</vt:filetime>
  </property>
  <property fmtid="{D5CDD505-2E9C-101B-9397-08002B2CF9AE}" pid="3" name="Creator">
    <vt:lpwstr>CorelDRAW X8</vt:lpwstr>
  </property>
  <property fmtid="{D5CDD505-2E9C-101B-9397-08002B2CF9AE}" pid="4" name="ICV">
    <vt:lpwstr>EAAA73AA0837401C957EDA8F22D13DA0_13</vt:lpwstr>
  </property>
  <property fmtid="{D5CDD505-2E9C-101B-9397-08002B2CF9AE}" pid="5" name="KSOProductBuildVer">
    <vt:lpwstr>2052-12.1.0.21541</vt:lpwstr>
  </property>
  <property fmtid="{D5CDD505-2E9C-101B-9397-08002B2CF9AE}" pid="6" name="LastSaved">
    <vt:filetime>2024-01-22T08:00:00Z</vt:filetime>
  </property>
  <property fmtid="{D5CDD505-2E9C-101B-9397-08002B2CF9AE}" pid="7" name="ribbonExt">
    <vt:lpwstr>{"WPSExtOfficeTab":{"OnGetEnabled":false,"OnGetVisible":false}}</vt:lpwstr>
  </property>
  <property fmtid="{D5CDD505-2E9C-101B-9397-08002B2CF9AE}" pid="8" name="慧眼令牌">
    <vt:lpwstr>eyJraWQiOiJvYSIsInR5cCI6IkpXVCIsImFsZyI6IkhTMjU2In0.eyJzdWIiOiJPQS1MT0dJTiIsImNvcnBJZCI6IiIsIm1haW5BY2NvdW50IjoiIiwiaXNzIjoiRVhPQSIsIm9EZXB0IjoiIiwidXNlcklkIjoxMDMwNywibURlcHQiOiI3LOWKnuWFrOWupO-8iOecgeivreWnlOWKnu-8iSIsIm5iZiI6MTcxMTA3MjQ2MiwibmFtZSI6Iuael-Wwj-WonCIsImV4cCI6MjAyNjQzNjA2MiwiaWF0IjoxNzExMDc1NDYyLCJqdGkiOiJvYSIsImFjY291bnQiOiJsaW54biJ9.iKtLV3_VvdGWi6ebcALIIZb96jVEIsDL-fsmpQpYYl4</vt:lpwstr>
  </property>
  <property fmtid="{D5CDD505-2E9C-101B-9397-08002B2CF9AE}" pid="9" name="KSOTemplateDocerSaveRecord">
    <vt:lpwstr>eyJoZGlkIjoiZmY1OWZiNmJiNWQ4NDZlZjgxY2JiOWYwMTQyYWUwZjkiLCJ1c2VySWQiOiIxNjg3MTQ4NTk5In0=</vt:lpwstr>
  </property>
</Properties>
</file>