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90" w:rsidRPr="00E931A8" w:rsidRDefault="009B1790" w:rsidP="002C41D9">
      <w:pPr>
        <w:spacing w:line="276" w:lineRule="auto"/>
        <w:jc w:val="center"/>
        <w:rPr>
          <w:rFonts w:ascii="仿宋" w:eastAsia="仿宋" w:hAnsi="仿宋"/>
          <w:b/>
          <w:sz w:val="32"/>
          <w:szCs w:val="32"/>
        </w:rPr>
      </w:pPr>
      <w:r w:rsidRPr="00E931A8">
        <w:rPr>
          <w:rFonts w:ascii="仿宋" w:eastAsia="仿宋" w:hAnsi="仿宋" w:hint="eastAsia"/>
          <w:b/>
          <w:sz w:val="32"/>
          <w:szCs w:val="32"/>
        </w:rPr>
        <w:t>华南师范大学201</w:t>
      </w:r>
      <w:r>
        <w:rPr>
          <w:rFonts w:ascii="仿宋" w:eastAsia="仿宋" w:hAnsi="仿宋" w:hint="eastAsia"/>
          <w:b/>
          <w:sz w:val="32"/>
          <w:szCs w:val="32"/>
        </w:rPr>
        <w:t>6</w:t>
      </w:r>
      <w:r w:rsidRPr="00E931A8">
        <w:rPr>
          <w:rFonts w:ascii="仿宋" w:eastAsia="仿宋" w:hAnsi="仿宋" w:hint="eastAsia"/>
          <w:b/>
          <w:sz w:val="32"/>
          <w:szCs w:val="32"/>
        </w:rPr>
        <w:t>-201</w:t>
      </w:r>
      <w:r>
        <w:rPr>
          <w:rFonts w:ascii="仿宋" w:eastAsia="仿宋" w:hAnsi="仿宋" w:hint="eastAsia"/>
          <w:b/>
          <w:sz w:val="32"/>
          <w:szCs w:val="32"/>
        </w:rPr>
        <w:t>7</w:t>
      </w:r>
      <w:r w:rsidRPr="00E931A8">
        <w:rPr>
          <w:rFonts w:ascii="仿宋" w:eastAsia="仿宋" w:hAnsi="仿宋" w:hint="eastAsia"/>
          <w:b/>
          <w:sz w:val="32"/>
          <w:szCs w:val="32"/>
        </w:rPr>
        <w:t>（</w:t>
      </w:r>
      <w:r>
        <w:rPr>
          <w:rFonts w:ascii="仿宋" w:eastAsia="仿宋" w:hAnsi="仿宋" w:hint="eastAsia"/>
          <w:b/>
          <w:sz w:val="32"/>
          <w:szCs w:val="32"/>
        </w:rPr>
        <w:t>2</w:t>
      </w:r>
      <w:r w:rsidRPr="00E931A8">
        <w:rPr>
          <w:rFonts w:ascii="仿宋" w:eastAsia="仿宋" w:hAnsi="仿宋" w:hint="eastAsia"/>
          <w:b/>
          <w:sz w:val="32"/>
          <w:szCs w:val="32"/>
        </w:rPr>
        <w:t>）学期考试总结</w:t>
      </w:r>
    </w:p>
    <w:p w:rsidR="009B1790" w:rsidRPr="002B2784" w:rsidRDefault="009B1790" w:rsidP="002B2784">
      <w:pPr>
        <w:spacing w:line="360" w:lineRule="auto"/>
        <w:jc w:val="center"/>
        <w:rPr>
          <w:rFonts w:ascii="仿宋" w:eastAsia="仿宋" w:hAnsi="仿宋"/>
          <w:sz w:val="32"/>
          <w:szCs w:val="32"/>
        </w:rPr>
      </w:pPr>
      <w:r w:rsidRPr="00E931A8">
        <w:rPr>
          <w:rFonts w:ascii="仿宋" w:eastAsia="仿宋" w:hAnsi="仿宋" w:hint="eastAsia"/>
          <w:sz w:val="32"/>
          <w:szCs w:val="32"/>
        </w:rPr>
        <w:t>（教务处   201</w:t>
      </w:r>
      <w:r>
        <w:rPr>
          <w:rFonts w:ascii="仿宋" w:eastAsia="仿宋" w:hAnsi="仿宋" w:hint="eastAsia"/>
          <w:sz w:val="32"/>
          <w:szCs w:val="32"/>
        </w:rPr>
        <w:t>7</w:t>
      </w:r>
      <w:r w:rsidRPr="00E931A8">
        <w:rPr>
          <w:rFonts w:ascii="仿宋" w:eastAsia="仿宋" w:hAnsi="仿宋" w:hint="eastAsia"/>
          <w:sz w:val="32"/>
          <w:szCs w:val="32"/>
        </w:rPr>
        <w:t>年</w:t>
      </w:r>
      <w:r>
        <w:rPr>
          <w:rFonts w:ascii="仿宋" w:eastAsia="仿宋" w:hAnsi="仿宋" w:hint="eastAsia"/>
          <w:sz w:val="32"/>
          <w:szCs w:val="32"/>
        </w:rPr>
        <w:t>9</w:t>
      </w:r>
      <w:r w:rsidRPr="00E931A8">
        <w:rPr>
          <w:rFonts w:ascii="仿宋" w:eastAsia="仿宋" w:hAnsi="仿宋" w:hint="eastAsia"/>
          <w:sz w:val="32"/>
          <w:szCs w:val="32"/>
        </w:rPr>
        <w:t>月）</w:t>
      </w:r>
    </w:p>
    <w:p w:rsidR="009B1790" w:rsidRPr="00E931A8" w:rsidRDefault="009B1790" w:rsidP="002C41D9">
      <w:pPr>
        <w:spacing w:line="560" w:lineRule="exact"/>
        <w:ind w:firstLineChars="200" w:firstLine="560"/>
        <w:rPr>
          <w:rFonts w:ascii="仿宋" w:eastAsia="仿宋" w:hAnsi="仿宋"/>
          <w:sz w:val="28"/>
          <w:szCs w:val="28"/>
        </w:rPr>
      </w:pPr>
      <w:r w:rsidRPr="00E931A8">
        <w:rPr>
          <w:rFonts w:ascii="仿宋" w:eastAsia="仿宋" w:hAnsi="仿宋" w:hint="eastAsia"/>
          <w:sz w:val="28"/>
          <w:szCs w:val="28"/>
        </w:rPr>
        <w:t>为总结考试经验，现将</w:t>
      </w:r>
      <w:r>
        <w:rPr>
          <w:rFonts w:ascii="仿宋" w:eastAsia="仿宋" w:hAnsi="仿宋" w:hint="eastAsia"/>
          <w:sz w:val="28"/>
          <w:szCs w:val="28"/>
        </w:rPr>
        <w:t>6</w:t>
      </w:r>
      <w:r w:rsidRPr="00E931A8">
        <w:rPr>
          <w:rFonts w:ascii="仿宋" w:eastAsia="仿宋" w:hAnsi="仿宋" w:hint="eastAsia"/>
          <w:sz w:val="28"/>
          <w:szCs w:val="28"/>
        </w:rPr>
        <w:t>月</w:t>
      </w:r>
      <w:r>
        <w:rPr>
          <w:rFonts w:ascii="仿宋" w:eastAsia="仿宋" w:hAnsi="仿宋" w:hint="eastAsia"/>
          <w:sz w:val="28"/>
          <w:szCs w:val="28"/>
        </w:rPr>
        <w:t>26</w:t>
      </w:r>
      <w:r w:rsidRPr="00E931A8">
        <w:rPr>
          <w:rFonts w:ascii="仿宋" w:eastAsia="仿宋" w:hAnsi="仿宋" w:hint="eastAsia"/>
          <w:sz w:val="28"/>
          <w:szCs w:val="28"/>
        </w:rPr>
        <w:t>日</w:t>
      </w:r>
      <w:r>
        <w:rPr>
          <w:rFonts w:ascii="仿宋" w:eastAsia="仿宋" w:hAnsi="仿宋" w:hint="eastAsia"/>
          <w:sz w:val="28"/>
          <w:szCs w:val="28"/>
        </w:rPr>
        <w:t>至7月7日</w:t>
      </w:r>
      <w:r w:rsidRPr="00E931A8">
        <w:rPr>
          <w:rFonts w:ascii="仿宋" w:eastAsia="仿宋" w:hAnsi="仿宋" w:hint="eastAsia"/>
          <w:sz w:val="28"/>
          <w:szCs w:val="28"/>
        </w:rPr>
        <w:t>的201</w:t>
      </w:r>
      <w:r>
        <w:rPr>
          <w:rFonts w:ascii="仿宋" w:eastAsia="仿宋" w:hAnsi="仿宋" w:hint="eastAsia"/>
          <w:sz w:val="28"/>
          <w:szCs w:val="28"/>
        </w:rPr>
        <w:t>6-</w:t>
      </w:r>
      <w:r w:rsidRPr="00E931A8">
        <w:rPr>
          <w:rFonts w:ascii="仿宋" w:eastAsia="仿宋" w:hAnsi="仿宋" w:hint="eastAsia"/>
          <w:sz w:val="28"/>
          <w:szCs w:val="28"/>
        </w:rPr>
        <w:t>201</w:t>
      </w:r>
      <w:r>
        <w:rPr>
          <w:rFonts w:ascii="仿宋" w:eastAsia="仿宋" w:hAnsi="仿宋" w:hint="eastAsia"/>
          <w:sz w:val="28"/>
          <w:szCs w:val="28"/>
        </w:rPr>
        <w:t>7</w:t>
      </w:r>
      <w:r w:rsidRPr="00E931A8">
        <w:rPr>
          <w:rFonts w:ascii="仿宋" w:eastAsia="仿宋" w:hAnsi="仿宋" w:hint="eastAsia"/>
          <w:sz w:val="28"/>
          <w:szCs w:val="28"/>
        </w:rPr>
        <w:t>（</w:t>
      </w:r>
      <w:r>
        <w:rPr>
          <w:rFonts w:ascii="仿宋" w:eastAsia="仿宋" w:hAnsi="仿宋" w:hint="eastAsia"/>
          <w:sz w:val="28"/>
          <w:szCs w:val="28"/>
        </w:rPr>
        <w:t>2</w:t>
      </w:r>
      <w:r w:rsidRPr="00E931A8">
        <w:rPr>
          <w:rFonts w:ascii="仿宋" w:eastAsia="仿宋" w:hAnsi="仿宋" w:hint="eastAsia"/>
          <w:sz w:val="28"/>
          <w:szCs w:val="28"/>
        </w:rPr>
        <w:t>）学期期末考试</w:t>
      </w:r>
      <w:r>
        <w:rPr>
          <w:rFonts w:ascii="仿宋" w:eastAsia="仿宋" w:hAnsi="仿宋" w:hint="eastAsia"/>
          <w:sz w:val="28"/>
          <w:szCs w:val="28"/>
        </w:rPr>
        <w:t>及9</w:t>
      </w:r>
      <w:r w:rsidRPr="0079053A">
        <w:rPr>
          <w:rFonts w:ascii="仿宋" w:eastAsia="仿宋" w:hAnsi="仿宋" w:hint="eastAsia"/>
          <w:sz w:val="28"/>
          <w:szCs w:val="28"/>
        </w:rPr>
        <w:t>月</w:t>
      </w:r>
      <w:r>
        <w:rPr>
          <w:rFonts w:ascii="仿宋" w:eastAsia="仿宋" w:hAnsi="仿宋" w:hint="eastAsia"/>
          <w:sz w:val="28"/>
          <w:szCs w:val="28"/>
        </w:rPr>
        <w:t>9</w:t>
      </w:r>
      <w:r w:rsidRPr="0079053A">
        <w:rPr>
          <w:rFonts w:ascii="仿宋" w:eastAsia="仿宋" w:hAnsi="仿宋" w:hint="eastAsia"/>
          <w:sz w:val="28"/>
          <w:szCs w:val="28"/>
        </w:rPr>
        <w:t>-</w:t>
      </w:r>
      <w:r>
        <w:rPr>
          <w:rFonts w:ascii="仿宋" w:eastAsia="仿宋" w:hAnsi="仿宋" w:hint="eastAsia"/>
          <w:sz w:val="28"/>
          <w:szCs w:val="28"/>
        </w:rPr>
        <w:t>10，16-17</w:t>
      </w:r>
      <w:r w:rsidRPr="0079053A">
        <w:rPr>
          <w:rFonts w:ascii="仿宋" w:eastAsia="仿宋" w:hAnsi="仿宋" w:hint="eastAsia"/>
          <w:sz w:val="28"/>
          <w:szCs w:val="28"/>
        </w:rPr>
        <w:t>日缓考考试</w:t>
      </w:r>
      <w:r w:rsidRPr="00E931A8">
        <w:rPr>
          <w:rFonts w:ascii="仿宋" w:eastAsia="仿宋" w:hAnsi="仿宋" w:hint="eastAsia"/>
          <w:sz w:val="28"/>
          <w:szCs w:val="28"/>
        </w:rPr>
        <w:t xml:space="preserve">情况总结如下： </w:t>
      </w:r>
    </w:p>
    <w:p w:rsidR="009B1790" w:rsidRPr="00D06CE9" w:rsidRDefault="009B1790" w:rsidP="002C41D9">
      <w:pPr>
        <w:spacing w:line="560" w:lineRule="exact"/>
        <w:ind w:firstLine="480"/>
        <w:rPr>
          <w:rFonts w:ascii="仿宋" w:eastAsia="仿宋" w:hAnsi="仿宋"/>
          <w:b/>
          <w:sz w:val="28"/>
          <w:szCs w:val="28"/>
        </w:rPr>
      </w:pPr>
      <w:r w:rsidRPr="00D06CE9">
        <w:rPr>
          <w:rFonts w:ascii="仿宋" w:eastAsia="仿宋" w:hAnsi="仿宋" w:hint="eastAsia"/>
          <w:b/>
          <w:sz w:val="28"/>
          <w:szCs w:val="28"/>
        </w:rPr>
        <w:t>一、</w:t>
      </w:r>
      <w:r>
        <w:rPr>
          <w:rFonts w:ascii="仿宋" w:eastAsia="仿宋" w:hAnsi="仿宋" w:hint="eastAsia"/>
          <w:b/>
          <w:sz w:val="28"/>
          <w:szCs w:val="28"/>
        </w:rPr>
        <w:t>考试</w:t>
      </w:r>
      <w:r w:rsidRPr="00D06CE9">
        <w:rPr>
          <w:rFonts w:ascii="仿宋" w:eastAsia="仿宋" w:hAnsi="仿宋" w:hint="eastAsia"/>
          <w:b/>
          <w:sz w:val="28"/>
          <w:szCs w:val="28"/>
        </w:rPr>
        <w:t>基本情况</w:t>
      </w:r>
    </w:p>
    <w:p w:rsidR="00DE76B0" w:rsidRPr="00DE76B0" w:rsidRDefault="009B1790" w:rsidP="002C41D9">
      <w:pPr>
        <w:spacing w:line="560" w:lineRule="exact"/>
        <w:ind w:firstLine="480"/>
        <w:rPr>
          <w:rFonts w:ascii="仿宋" w:eastAsia="仿宋" w:hAnsi="仿宋"/>
          <w:color w:val="000000"/>
          <w:sz w:val="28"/>
          <w:szCs w:val="28"/>
        </w:rPr>
      </w:pPr>
      <w:r w:rsidRPr="00E931A8">
        <w:rPr>
          <w:rFonts w:ascii="仿宋" w:eastAsia="仿宋" w:hAnsi="仿宋" w:hint="eastAsia"/>
          <w:sz w:val="28"/>
          <w:szCs w:val="28"/>
        </w:rPr>
        <w:t>期末考试的特点是考场多，考试课程多，参考学生多，监考人员多。全校三校区共有</w:t>
      </w:r>
      <w:r w:rsidR="00DE76B0">
        <w:rPr>
          <w:rFonts w:ascii="仿宋" w:eastAsia="仿宋" w:hAnsi="仿宋" w:hint="eastAsia"/>
          <w:sz w:val="28"/>
          <w:szCs w:val="28"/>
        </w:rPr>
        <w:t>1606</w:t>
      </w:r>
      <w:r w:rsidRPr="00E931A8">
        <w:rPr>
          <w:rFonts w:ascii="仿宋" w:eastAsia="仿宋" w:hAnsi="仿宋" w:hint="eastAsia"/>
          <w:sz w:val="28"/>
          <w:szCs w:val="28"/>
        </w:rPr>
        <w:t>个考场，涉及</w:t>
      </w:r>
      <w:r>
        <w:rPr>
          <w:rFonts w:ascii="仿宋" w:eastAsia="仿宋" w:hAnsi="仿宋" w:hint="eastAsia"/>
          <w:sz w:val="28"/>
          <w:szCs w:val="28"/>
        </w:rPr>
        <w:t>61</w:t>
      </w:r>
      <w:r w:rsidR="00DE76B0">
        <w:rPr>
          <w:rFonts w:ascii="仿宋" w:eastAsia="仿宋" w:hAnsi="仿宋" w:hint="eastAsia"/>
          <w:sz w:val="28"/>
          <w:szCs w:val="28"/>
        </w:rPr>
        <w:t>1</w:t>
      </w:r>
      <w:r w:rsidRPr="00E931A8">
        <w:rPr>
          <w:rFonts w:ascii="仿宋" w:eastAsia="仿宋" w:hAnsi="仿宋" w:hint="eastAsia"/>
          <w:sz w:val="28"/>
          <w:szCs w:val="28"/>
        </w:rPr>
        <w:t>门课程，参加考试的学生</w:t>
      </w:r>
      <w:r w:rsidR="00DE76B0">
        <w:rPr>
          <w:rFonts w:ascii="仿宋" w:eastAsia="仿宋" w:hAnsi="仿宋" w:hint="eastAsia"/>
          <w:sz w:val="28"/>
          <w:szCs w:val="28"/>
        </w:rPr>
        <w:t>9.2</w:t>
      </w:r>
      <w:r w:rsidRPr="00E931A8">
        <w:rPr>
          <w:rFonts w:ascii="仿宋" w:eastAsia="仿宋" w:hAnsi="仿宋" w:hint="eastAsia"/>
          <w:sz w:val="28"/>
          <w:szCs w:val="28"/>
        </w:rPr>
        <w:t>万余人次，监考人员4000</w:t>
      </w:r>
      <w:r>
        <w:rPr>
          <w:rFonts w:ascii="仿宋" w:eastAsia="仿宋" w:hAnsi="仿宋" w:hint="eastAsia"/>
          <w:sz w:val="28"/>
          <w:szCs w:val="28"/>
        </w:rPr>
        <w:t>余</w:t>
      </w:r>
      <w:r w:rsidRPr="00E931A8">
        <w:rPr>
          <w:rFonts w:ascii="仿宋" w:eastAsia="仿宋" w:hAnsi="仿宋" w:hint="eastAsia"/>
          <w:sz w:val="28"/>
          <w:szCs w:val="28"/>
        </w:rPr>
        <w:t>人次。其中</w:t>
      </w:r>
      <w:r w:rsidRPr="00E931A8">
        <w:rPr>
          <w:rFonts w:ascii="仿宋" w:eastAsia="仿宋" w:hAnsi="仿宋" w:hint="eastAsia"/>
          <w:color w:val="000000"/>
          <w:sz w:val="28"/>
          <w:szCs w:val="28"/>
        </w:rPr>
        <w:t>石牌校区</w:t>
      </w:r>
      <w:r>
        <w:rPr>
          <w:rFonts w:ascii="仿宋" w:eastAsia="仿宋" w:hAnsi="仿宋" w:hint="eastAsia"/>
          <w:color w:val="000000"/>
          <w:sz w:val="28"/>
          <w:szCs w:val="28"/>
        </w:rPr>
        <w:t>7</w:t>
      </w:r>
      <w:r w:rsidR="00DE76B0">
        <w:rPr>
          <w:rFonts w:ascii="仿宋" w:eastAsia="仿宋" w:hAnsi="仿宋" w:hint="eastAsia"/>
          <w:color w:val="000000"/>
          <w:sz w:val="28"/>
          <w:szCs w:val="28"/>
        </w:rPr>
        <w:t>26</w:t>
      </w:r>
      <w:r w:rsidRPr="00E931A8">
        <w:rPr>
          <w:rFonts w:ascii="仿宋" w:eastAsia="仿宋" w:hAnsi="仿宋" w:hint="eastAsia"/>
          <w:color w:val="000000"/>
          <w:sz w:val="28"/>
          <w:szCs w:val="28"/>
        </w:rPr>
        <w:t>个考场，大学城校区</w:t>
      </w:r>
      <w:r>
        <w:rPr>
          <w:rFonts w:ascii="仿宋" w:eastAsia="仿宋" w:hAnsi="仿宋" w:hint="eastAsia"/>
          <w:color w:val="000000"/>
          <w:sz w:val="28"/>
          <w:szCs w:val="28"/>
        </w:rPr>
        <w:t>7</w:t>
      </w:r>
      <w:r w:rsidR="00DE76B0">
        <w:rPr>
          <w:rFonts w:ascii="仿宋" w:eastAsia="仿宋" w:hAnsi="仿宋" w:hint="eastAsia"/>
          <w:color w:val="000000"/>
          <w:sz w:val="28"/>
          <w:szCs w:val="28"/>
        </w:rPr>
        <w:t>32</w:t>
      </w:r>
      <w:r w:rsidRPr="00E931A8">
        <w:rPr>
          <w:rFonts w:ascii="仿宋" w:eastAsia="仿宋" w:hAnsi="仿宋" w:hint="eastAsia"/>
          <w:color w:val="000000"/>
          <w:sz w:val="28"/>
          <w:szCs w:val="28"/>
        </w:rPr>
        <w:t>个考场，南海校区</w:t>
      </w:r>
      <w:r w:rsidR="00DE76B0">
        <w:rPr>
          <w:rFonts w:ascii="仿宋" w:eastAsia="仿宋" w:hAnsi="仿宋" w:hint="eastAsia"/>
          <w:color w:val="000000"/>
          <w:sz w:val="28"/>
          <w:szCs w:val="28"/>
        </w:rPr>
        <w:t>148</w:t>
      </w:r>
      <w:r w:rsidRPr="00E931A8">
        <w:rPr>
          <w:rFonts w:ascii="仿宋" w:eastAsia="仿宋" w:hAnsi="仿宋" w:hint="eastAsia"/>
          <w:color w:val="000000"/>
          <w:sz w:val="28"/>
          <w:szCs w:val="28"/>
        </w:rPr>
        <w:t>个考场。</w:t>
      </w:r>
    </w:p>
    <w:tbl>
      <w:tblPr>
        <w:tblStyle w:val="a5"/>
        <w:tblW w:w="8436" w:type="dxa"/>
        <w:tblLook w:val="04A0"/>
      </w:tblPr>
      <w:tblGrid>
        <w:gridCol w:w="2207"/>
        <w:gridCol w:w="2066"/>
        <w:gridCol w:w="2153"/>
        <w:gridCol w:w="2010"/>
      </w:tblGrid>
      <w:tr w:rsidR="00DE76B0" w:rsidTr="002C41D9">
        <w:trPr>
          <w:trHeight w:val="418"/>
        </w:trPr>
        <w:tc>
          <w:tcPr>
            <w:tcW w:w="2207" w:type="dxa"/>
            <w:tcBorders>
              <w:tl2br w:val="single" w:sz="4" w:space="0" w:color="auto"/>
            </w:tcBorders>
            <w:vAlign w:val="center"/>
          </w:tcPr>
          <w:p w:rsidR="00DE76B0" w:rsidRDefault="00DE76B0" w:rsidP="002C41D9">
            <w:pPr>
              <w:spacing w:line="560" w:lineRule="exact"/>
              <w:ind w:firstLineChars="500" w:firstLine="1050"/>
              <w:jc w:val="center"/>
            </w:pPr>
            <w:r>
              <w:rPr>
                <w:rFonts w:hint="eastAsia"/>
              </w:rPr>
              <w:t>考试情况</w:t>
            </w:r>
          </w:p>
          <w:p w:rsidR="00DE76B0" w:rsidRDefault="00DE76B0" w:rsidP="002C41D9">
            <w:pPr>
              <w:spacing w:line="560" w:lineRule="exact"/>
              <w:jc w:val="center"/>
            </w:pPr>
            <w:r>
              <w:rPr>
                <w:rFonts w:hint="eastAsia"/>
              </w:rPr>
              <w:t>校区</w:t>
            </w:r>
          </w:p>
        </w:tc>
        <w:tc>
          <w:tcPr>
            <w:tcW w:w="2066" w:type="dxa"/>
            <w:vAlign w:val="center"/>
          </w:tcPr>
          <w:p w:rsidR="00DE76B0" w:rsidRDefault="00DE76B0" w:rsidP="002C41D9">
            <w:pPr>
              <w:spacing w:line="560" w:lineRule="exact"/>
              <w:jc w:val="center"/>
            </w:pPr>
            <w:r>
              <w:rPr>
                <w:rFonts w:hint="eastAsia"/>
              </w:rPr>
              <w:t>课程门数（门）</w:t>
            </w:r>
          </w:p>
        </w:tc>
        <w:tc>
          <w:tcPr>
            <w:tcW w:w="2153" w:type="dxa"/>
            <w:vAlign w:val="center"/>
          </w:tcPr>
          <w:p w:rsidR="00DE76B0" w:rsidRDefault="00DE76B0" w:rsidP="002C41D9">
            <w:pPr>
              <w:spacing w:line="560" w:lineRule="exact"/>
              <w:jc w:val="center"/>
            </w:pPr>
            <w:r>
              <w:rPr>
                <w:rFonts w:hint="eastAsia"/>
              </w:rPr>
              <w:t>考场数（个）</w:t>
            </w:r>
          </w:p>
        </w:tc>
        <w:tc>
          <w:tcPr>
            <w:tcW w:w="2010" w:type="dxa"/>
            <w:vAlign w:val="center"/>
          </w:tcPr>
          <w:p w:rsidR="00DE76B0" w:rsidRDefault="00DE76B0" w:rsidP="002C41D9">
            <w:pPr>
              <w:spacing w:line="560" w:lineRule="exact"/>
              <w:jc w:val="center"/>
            </w:pPr>
            <w:r>
              <w:rPr>
                <w:rFonts w:hint="eastAsia"/>
              </w:rPr>
              <w:t>参考学生（人次）</w:t>
            </w:r>
          </w:p>
        </w:tc>
      </w:tr>
      <w:tr w:rsidR="00DE76B0" w:rsidTr="002C41D9">
        <w:trPr>
          <w:trHeight w:val="315"/>
        </w:trPr>
        <w:tc>
          <w:tcPr>
            <w:tcW w:w="2207" w:type="dxa"/>
            <w:vAlign w:val="center"/>
          </w:tcPr>
          <w:p w:rsidR="00DE76B0" w:rsidRDefault="00DE76B0" w:rsidP="002C41D9">
            <w:pPr>
              <w:spacing w:line="560" w:lineRule="exact"/>
              <w:jc w:val="center"/>
            </w:pPr>
            <w:r>
              <w:rPr>
                <w:rFonts w:hint="eastAsia"/>
              </w:rPr>
              <w:t>石牌校区</w:t>
            </w:r>
          </w:p>
        </w:tc>
        <w:tc>
          <w:tcPr>
            <w:tcW w:w="2066" w:type="dxa"/>
            <w:vAlign w:val="center"/>
          </w:tcPr>
          <w:p w:rsidR="00DE76B0" w:rsidRDefault="00DE76B0" w:rsidP="002C41D9">
            <w:pPr>
              <w:spacing w:line="560" w:lineRule="exact"/>
              <w:jc w:val="center"/>
            </w:pPr>
            <w:r>
              <w:rPr>
                <w:rFonts w:hint="eastAsia"/>
              </w:rPr>
              <w:t>287</w:t>
            </w:r>
          </w:p>
        </w:tc>
        <w:tc>
          <w:tcPr>
            <w:tcW w:w="2153" w:type="dxa"/>
            <w:vAlign w:val="center"/>
          </w:tcPr>
          <w:p w:rsidR="00DE76B0" w:rsidRDefault="00DE76B0" w:rsidP="002C41D9">
            <w:pPr>
              <w:spacing w:line="560" w:lineRule="exact"/>
              <w:jc w:val="center"/>
            </w:pPr>
            <w:r>
              <w:rPr>
                <w:rFonts w:hint="eastAsia"/>
              </w:rPr>
              <w:t>726</w:t>
            </w:r>
          </w:p>
        </w:tc>
        <w:tc>
          <w:tcPr>
            <w:tcW w:w="2010" w:type="dxa"/>
            <w:vAlign w:val="center"/>
          </w:tcPr>
          <w:p w:rsidR="00DE76B0" w:rsidRDefault="00DE76B0" w:rsidP="002C41D9">
            <w:pPr>
              <w:spacing w:line="560" w:lineRule="exact"/>
              <w:jc w:val="center"/>
            </w:pPr>
            <w:r>
              <w:rPr>
                <w:rFonts w:hint="eastAsia"/>
              </w:rPr>
              <w:t>38150</w:t>
            </w:r>
          </w:p>
        </w:tc>
      </w:tr>
      <w:tr w:rsidR="00DE76B0" w:rsidTr="002C41D9">
        <w:trPr>
          <w:trHeight w:val="295"/>
        </w:trPr>
        <w:tc>
          <w:tcPr>
            <w:tcW w:w="2207" w:type="dxa"/>
            <w:vAlign w:val="center"/>
          </w:tcPr>
          <w:p w:rsidR="00DE76B0" w:rsidRDefault="00DE76B0" w:rsidP="002C41D9">
            <w:pPr>
              <w:spacing w:line="560" w:lineRule="exact"/>
              <w:jc w:val="center"/>
            </w:pPr>
            <w:r>
              <w:rPr>
                <w:rFonts w:hint="eastAsia"/>
              </w:rPr>
              <w:t>大学城校区</w:t>
            </w:r>
          </w:p>
        </w:tc>
        <w:tc>
          <w:tcPr>
            <w:tcW w:w="2066" w:type="dxa"/>
            <w:vAlign w:val="center"/>
          </w:tcPr>
          <w:p w:rsidR="00DE76B0" w:rsidRDefault="00DE76B0" w:rsidP="002C41D9">
            <w:pPr>
              <w:spacing w:line="560" w:lineRule="exact"/>
              <w:jc w:val="center"/>
            </w:pPr>
            <w:r>
              <w:rPr>
                <w:rFonts w:hint="eastAsia"/>
              </w:rPr>
              <w:t>251</w:t>
            </w:r>
          </w:p>
        </w:tc>
        <w:tc>
          <w:tcPr>
            <w:tcW w:w="2153" w:type="dxa"/>
            <w:vAlign w:val="center"/>
          </w:tcPr>
          <w:p w:rsidR="00DE76B0" w:rsidRDefault="00DE76B0" w:rsidP="002C41D9">
            <w:pPr>
              <w:spacing w:line="560" w:lineRule="exact"/>
              <w:jc w:val="center"/>
            </w:pPr>
            <w:r>
              <w:rPr>
                <w:rFonts w:hint="eastAsia"/>
              </w:rPr>
              <w:t>732</w:t>
            </w:r>
          </w:p>
        </w:tc>
        <w:tc>
          <w:tcPr>
            <w:tcW w:w="2010" w:type="dxa"/>
            <w:vAlign w:val="center"/>
          </w:tcPr>
          <w:p w:rsidR="00DE76B0" w:rsidRDefault="00DE76B0" w:rsidP="002C41D9">
            <w:pPr>
              <w:spacing w:line="560" w:lineRule="exact"/>
              <w:jc w:val="center"/>
            </w:pPr>
            <w:r>
              <w:rPr>
                <w:rFonts w:hint="eastAsia"/>
              </w:rPr>
              <w:t>46556</w:t>
            </w:r>
          </w:p>
        </w:tc>
      </w:tr>
      <w:tr w:rsidR="00DE76B0" w:rsidTr="002C41D9">
        <w:trPr>
          <w:trHeight w:val="238"/>
        </w:trPr>
        <w:tc>
          <w:tcPr>
            <w:tcW w:w="2207" w:type="dxa"/>
            <w:vAlign w:val="center"/>
          </w:tcPr>
          <w:p w:rsidR="00DE76B0" w:rsidRDefault="00DE76B0" w:rsidP="002C41D9">
            <w:pPr>
              <w:spacing w:line="560" w:lineRule="exact"/>
              <w:jc w:val="center"/>
            </w:pPr>
            <w:r>
              <w:rPr>
                <w:rFonts w:hint="eastAsia"/>
              </w:rPr>
              <w:t>南海校区</w:t>
            </w:r>
          </w:p>
        </w:tc>
        <w:tc>
          <w:tcPr>
            <w:tcW w:w="2066" w:type="dxa"/>
            <w:vAlign w:val="center"/>
          </w:tcPr>
          <w:p w:rsidR="00DE76B0" w:rsidRDefault="00DE76B0" w:rsidP="002C41D9">
            <w:pPr>
              <w:spacing w:line="560" w:lineRule="exact"/>
              <w:jc w:val="center"/>
            </w:pPr>
            <w:r>
              <w:rPr>
                <w:rFonts w:hint="eastAsia"/>
              </w:rPr>
              <w:t>87</w:t>
            </w:r>
          </w:p>
        </w:tc>
        <w:tc>
          <w:tcPr>
            <w:tcW w:w="2153" w:type="dxa"/>
            <w:vAlign w:val="center"/>
          </w:tcPr>
          <w:p w:rsidR="00DE76B0" w:rsidRDefault="00DE76B0" w:rsidP="002C41D9">
            <w:pPr>
              <w:spacing w:line="560" w:lineRule="exact"/>
              <w:jc w:val="center"/>
            </w:pPr>
            <w:r>
              <w:rPr>
                <w:rFonts w:hint="eastAsia"/>
              </w:rPr>
              <w:t>148</w:t>
            </w:r>
          </w:p>
        </w:tc>
        <w:tc>
          <w:tcPr>
            <w:tcW w:w="2010" w:type="dxa"/>
            <w:vAlign w:val="center"/>
          </w:tcPr>
          <w:p w:rsidR="00DE76B0" w:rsidRDefault="00DE76B0" w:rsidP="002C41D9">
            <w:pPr>
              <w:spacing w:line="560" w:lineRule="exact"/>
              <w:jc w:val="center"/>
            </w:pPr>
            <w:r>
              <w:rPr>
                <w:rFonts w:hint="eastAsia"/>
              </w:rPr>
              <w:t>7210</w:t>
            </w:r>
          </w:p>
        </w:tc>
      </w:tr>
      <w:tr w:rsidR="00DE76B0" w:rsidTr="002C41D9">
        <w:trPr>
          <w:trHeight w:val="203"/>
        </w:trPr>
        <w:tc>
          <w:tcPr>
            <w:tcW w:w="2207" w:type="dxa"/>
            <w:vAlign w:val="center"/>
          </w:tcPr>
          <w:p w:rsidR="00DE76B0" w:rsidRDefault="00DE76B0" w:rsidP="002C41D9">
            <w:pPr>
              <w:spacing w:line="560" w:lineRule="exact"/>
              <w:jc w:val="center"/>
            </w:pPr>
            <w:r>
              <w:rPr>
                <w:rFonts w:hint="eastAsia"/>
              </w:rPr>
              <w:t>合计</w:t>
            </w:r>
          </w:p>
        </w:tc>
        <w:tc>
          <w:tcPr>
            <w:tcW w:w="2066" w:type="dxa"/>
            <w:vAlign w:val="center"/>
          </w:tcPr>
          <w:p w:rsidR="00DE76B0" w:rsidRDefault="00DE76B0" w:rsidP="002C41D9">
            <w:pPr>
              <w:spacing w:line="560" w:lineRule="exact"/>
              <w:jc w:val="center"/>
            </w:pPr>
            <w:r>
              <w:rPr>
                <w:rFonts w:hint="eastAsia"/>
              </w:rPr>
              <w:t>611</w:t>
            </w:r>
          </w:p>
        </w:tc>
        <w:tc>
          <w:tcPr>
            <w:tcW w:w="2153" w:type="dxa"/>
            <w:vAlign w:val="center"/>
          </w:tcPr>
          <w:p w:rsidR="00DE76B0" w:rsidRDefault="00DE76B0" w:rsidP="002C41D9">
            <w:pPr>
              <w:spacing w:line="560" w:lineRule="exact"/>
              <w:jc w:val="center"/>
            </w:pPr>
            <w:r>
              <w:rPr>
                <w:rFonts w:hint="eastAsia"/>
              </w:rPr>
              <w:t>1606</w:t>
            </w:r>
          </w:p>
        </w:tc>
        <w:tc>
          <w:tcPr>
            <w:tcW w:w="2010" w:type="dxa"/>
            <w:vAlign w:val="center"/>
          </w:tcPr>
          <w:p w:rsidR="00DE76B0" w:rsidRDefault="00DE76B0" w:rsidP="002C41D9">
            <w:pPr>
              <w:spacing w:line="560" w:lineRule="exact"/>
              <w:jc w:val="center"/>
            </w:pPr>
            <w:r>
              <w:rPr>
                <w:rFonts w:hint="eastAsia"/>
              </w:rPr>
              <w:t>91916</w:t>
            </w:r>
          </w:p>
        </w:tc>
      </w:tr>
    </w:tbl>
    <w:p w:rsidR="00670BFB" w:rsidRPr="00D06CE9" w:rsidRDefault="00670BFB" w:rsidP="002C41D9">
      <w:pPr>
        <w:spacing w:line="560" w:lineRule="exact"/>
        <w:ind w:firstLineChars="300" w:firstLine="843"/>
        <w:rPr>
          <w:rFonts w:ascii="仿宋" w:eastAsia="仿宋" w:hAnsi="仿宋" w:cs="仿宋"/>
          <w:b/>
          <w:sz w:val="28"/>
          <w:szCs w:val="28"/>
        </w:rPr>
      </w:pPr>
      <w:r w:rsidRPr="00D06CE9">
        <w:rPr>
          <w:rFonts w:ascii="仿宋" w:eastAsia="仿宋" w:hAnsi="仿宋" w:cs="仿宋" w:hint="eastAsia"/>
          <w:b/>
          <w:sz w:val="28"/>
          <w:szCs w:val="28"/>
        </w:rPr>
        <w:t>二、考试组织有序、秩序良好</w:t>
      </w:r>
    </w:p>
    <w:p w:rsidR="00670BFB" w:rsidRPr="00E931A8" w:rsidRDefault="00670BFB" w:rsidP="002C41D9">
      <w:pPr>
        <w:spacing w:line="560" w:lineRule="exact"/>
        <w:ind w:firstLine="555"/>
        <w:rPr>
          <w:rFonts w:ascii="仿宋" w:eastAsia="仿宋" w:hAnsi="仿宋" w:cs="仿宋"/>
          <w:sz w:val="28"/>
          <w:szCs w:val="28"/>
        </w:rPr>
      </w:pPr>
      <w:r w:rsidRPr="00E931A8">
        <w:rPr>
          <w:rFonts w:ascii="仿宋" w:eastAsia="仿宋" w:hAnsi="仿宋" w:cs="仿宋" w:hint="eastAsia"/>
          <w:sz w:val="28"/>
          <w:szCs w:val="28"/>
        </w:rPr>
        <w:t>1、</w:t>
      </w:r>
      <w:r w:rsidR="003E7056">
        <w:rPr>
          <w:rFonts w:ascii="仿宋" w:eastAsia="仿宋" w:hAnsi="仿宋" w:cs="仿宋" w:hint="eastAsia"/>
          <w:sz w:val="28"/>
          <w:szCs w:val="28"/>
        </w:rPr>
        <w:t>领导重视、</w:t>
      </w:r>
      <w:r w:rsidRPr="00E931A8">
        <w:rPr>
          <w:rFonts w:ascii="仿宋" w:eastAsia="仿宋" w:hAnsi="仿宋" w:cs="仿宋" w:hint="eastAsia"/>
          <w:sz w:val="28"/>
          <w:szCs w:val="28"/>
        </w:rPr>
        <w:t>管理</w:t>
      </w:r>
      <w:r w:rsidR="00605EFF" w:rsidRPr="00E931A8">
        <w:rPr>
          <w:rFonts w:ascii="仿宋" w:eastAsia="仿宋" w:hAnsi="仿宋" w:cs="仿宋" w:hint="eastAsia"/>
          <w:sz w:val="28"/>
          <w:szCs w:val="28"/>
        </w:rPr>
        <w:t>规范</w:t>
      </w:r>
      <w:r w:rsidR="00495902">
        <w:rPr>
          <w:rFonts w:ascii="仿宋" w:eastAsia="仿宋" w:hAnsi="仿宋" w:cs="仿宋" w:hint="eastAsia"/>
          <w:sz w:val="28"/>
          <w:szCs w:val="28"/>
        </w:rPr>
        <w:t>有序，考风考纪良好</w:t>
      </w:r>
      <w:r w:rsidRPr="00E931A8">
        <w:rPr>
          <w:rFonts w:ascii="仿宋" w:eastAsia="仿宋" w:hAnsi="仿宋" w:cs="仿宋" w:hint="eastAsia"/>
          <w:sz w:val="28"/>
          <w:szCs w:val="28"/>
        </w:rPr>
        <w:t>。</w:t>
      </w:r>
      <w:r w:rsidR="00495902">
        <w:rPr>
          <w:rFonts w:ascii="仿宋" w:eastAsia="仿宋" w:hAnsi="仿宋" w:cs="仿宋" w:hint="eastAsia"/>
          <w:sz w:val="28"/>
          <w:szCs w:val="28"/>
        </w:rPr>
        <w:t>各学院严格按照</w:t>
      </w:r>
      <w:r w:rsidRPr="00E931A8">
        <w:rPr>
          <w:rFonts w:ascii="仿宋" w:eastAsia="仿宋" w:hAnsi="仿宋" w:cs="仿宋" w:hint="eastAsia"/>
          <w:sz w:val="28"/>
          <w:szCs w:val="28"/>
        </w:rPr>
        <w:t>《华南师范大学考试管理规定》（华师[2014]26号）</w:t>
      </w:r>
      <w:r w:rsidR="00495902">
        <w:rPr>
          <w:rFonts w:ascii="仿宋" w:eastAsia="仿宋" w:hAnsi="仿宋" w:cs="仿宋" w:hint="eastAsia"/>
          <w:sz w:val="28"/>
          <w:szCs w:val="28"/>
        </w:rPr>
        <w:t>要求</w:t>
      </w:r>
      <w:r w:rsidR="00074021">
        <w:rPr>
          <w:rFonts w:ascii="仿宋" w:eastAsia="仿宋" w:hAnsi="仿宋" w:cs="仿宋" w:hint="eastAsia"/>
          <w:sz w:val="28"/>
          <w:szCs w:val="28"/>
        </w:rPr>
        <w:t>，</w:t>
      </w:r>
      <w:r w:rsidR="00495902">
        <w:rPr>
          <w:rFonts w:ascii="仿宋" w:eastAsia="仿宋" w:hAnsi="仿宋" w:cs="仿宋" w:hint="eastAsia"/>
          <w:sz w:val="28"/>
          <w:szCs w:val="28"/>
        </w:rPr>
        <w:t>从考务管理、教师培训、学生教育等环节着手加强精细化管理，扎扎实实做好考前、考中、考后各个节点工作，考试</w:t>
      </w:r>
      <w:r w:rsidR="006C5551">
        <w:rPr>
          <w:rFonts w:ascii="仿宋" w:eastAsia="仿宋" w:hAnsi="仿宋" w:cs="仿宋" w:hint="eastAsia"/>
          <w:sz w:val="28"/>
          <w:szCs w:val="28"/>
        </w:rPr>
        <w:t>管理</w:t>
      </w:r>
      <w:r w:rsidR="00495902">
        <w:rPr>
          <w:rFonts w:ascii="仿宋" w:eastAsia="仿宋" w:hAnsi="仿宋" w:cs="仿宋" w:hint="eastAsia"/>
          <w:sz w:val="28"/>
          <w:szCs w:val="28"/>
        </w:rPr>
        <w:t>规范有序</w:t>
      </w:r>
      <w:r w:rsidR="006C5551">
        <w:rPr>
          <w:rFonts w:ascii="仿宋" w:eastAsia="仿宋" w:hAnsi="仿宋" w:cs="仿宋" w:hint="eastAsia"/>
          <w:sz w:val="28"/>
          <w:szCs w:val="28"/>
        </w:rPr>
        <w:t>,</w:t>
      </w:r>
      <w:r w:rsidR="00495902">
        <w:rPr>
          <w:rFonts w:ascii="仿宋" w:eastAsia="仿宋" w:hAnsi="仿宋" w:cs="仿宋" w:hint="eastAsia"/>
          <w:sz w:val="28"/>
          <w:szCs w:val="28"/>
        </w:rPr>
        <w:t>考风考纪良好</w:t>
      </w:r>
      <w:r w:rsidRPr="00E931A8">
        <w:rPr>
          <w:rFonts w:ascii="仿宋" w:eastAsia="仿宋" w:hAnsi="仿宋" w:cs="仿宋" w:hint="eastAsia"/>
          <w:sz w:val="28"/>
          <w:szCs w:val="28"/>
        </w:rPr>
        <w:t>。</w:t>
      </w:r>
    </w:p>
    <w:p w:rsidR="00670BFB" w:rsidRDefault="00670BFB" w:rsidP="002C41D9">
      <w:pPr>
        <w:spacing w:line="560" w:lineRule="exact"/>
        <w:ind w:firstLineChars="200" w:firstLine="560"/>
        <w:rPr>
          <w:rFonts w:ascii="仿宋" w:eastAsia="仿宋" w:hAnsi="仿宋" w:cs="仿宋"/>
          <w:sz w:val="28"/>
          <w:szCs w:val="28"/>
        </w:rPr>
      </w:pPr>
      <w:r w:rsidRPr="00E931A8">
        <w:rPr>
          <w:rFonts w:ascii="仿宋" w:eastAsia="仿宋" w:hAnsi="仿宋" w:cs="仿宋" w:hint="eastAsia"/>
          <w:sz w:val="28"/>
          <w:szCs w:val="28"/>
        </w:rPr>
        <w:t>2、</w:t>
      </w:r>
      <w:r>
        <w:rPr>
          <w:rFonts w:ascii="仿宋" w:eastAsia="仿宋" w:hAnsi="仿宋" w:cs="仿宋" w:hint="eastAsia"/>
          <w:sz w:val="28"/>
          <w:szCs w:val="28"/>
        </w:rPr>
        <w:t>加强宣传</w:t>
      </w:r>
      <w:r w:rsidR="00F870E8">
        <w:rPr>
          <w:rFonts w:ascii="仿宋" w:eastAsia="仿宋" w:hAnsi="仿宋" w:cs="仿宋" w:hint="eastAsia"/>
          <w:sz w:val="28"/>
          <w:szCs w:val="28"/>
        </w:rPr>
        <w:t>教育</w:t>
      </w:r>
      <w:r>
        <w:rPr>
          <w:rFonts w:ascii="仿宋" w:eastAsia="仿宋" w:hAnsi="仿宋" w:cs="仿宋" w:hint="eastAsia"/>
          <w:sz w:val="28"/>
          <w:szCs w:val="28"/>
        </w:rPr>
        <w:t>、营造</w:t>
      </w:r>
      <w:r w:rsidR="00F870E8">
        <w:rPr>
          <w:rFonts w:ascii="仿宋" w:eastAsia="仿宋" w:hAnsi="仿宋" w:cs="仿宋" w:hint="eastAsia"/>
          <w:sz w:val="28"/>
          <w:szCs w:val="28"/>
        </w:rPr>
        <w:t>考试</w:t>
      </w:r>
      <w:r>
        <w:rPr>
          <w:rFonts w:ascii="仿宋" w:eastAsia="仿宋" w:hAnsi="仿宋" w:cs="仿宋" w:hint="eastAsia"/>
          <w:sz w:val="28"/>
          <w:szCs w:val="28"/>
        </w:rPr>
        <w:t>氛围</w:t>
      </w:r>
      <w:r w:rsidRPr="00E931A8">
        <w:rPr>
          <w:rFonts w:ascii="仿宋" w:eastAsia="仿宋" w:hAnsi="仿宋" w:cs="仿宋" w:hint="eastAsia"/>
          <w:sz w:val="28"/>
          <w:szCs w:val="28"/>
        </w:rPr>
        <w:t>。</w:t>
      </w:r>
      <w:r>
        <w:rPr>
          <w:rFonts w:ascii="仿宋" w:eastAsia="仿宋" w:hAnsi="仿宋" w:cs="仿宋" w:hint="eastAsia"/>
          <w:sz w:val="28"/>
          <w:szCs w:val="28"/>
        </w:rPr>
        <w:t>通过</w:t>
      </w:r>
      <w:r w:rsidRPr="00E931A8">
        <w:rPr>
          <w:rFonts w:ascii="仿宋" w:eastAsia="仿宋" w:hAnsi="仿宋" w:cs="仿宋" w:hint="eastAsia"/>
          <w:sz w:val="28"/>
          <w:szCs w:val="28"/>
        </w:rPr>
        <w:t>考前“三会”（学院领导班子会、监考（任课）教师培训会、学生考试纪律教育会）</w:t>
      </w:r>
      <w:r>
        <w:rPr>
          <w:rFonts w:ascii="仿宋" w:eastAsia="仿宋" w:hAnsi="仿宋" w:cs="仿宋" w:hint="eastAsia"/>
          <w:sz w:val="28"/>
          <w:szCs w:val="28"/>
        </w:rPr>
        <w:t>、</w:t>
      </w:r>
      <w:r w:rsidRPr="00F934E6">
        <w:rPr>
          <w:rFonts w:ascii="仿宋" w:eastAsia="仿宋" w:hAnsi="仿宋" w:cs="仿宋" w:hint="eastAsia"/>
          <w:sz w:val="28"/>
          <w:szCs w:val="28"/>
        </w:rPr>
        <w:t>主题班会、宣传栏</w:t>
      </w:r>
      <w:r w:rsidR="000A527D">
        <w:rPr>
          <w:rFonts w:ascii="仿宋" w:eastAsia="仿宋" w:hAnsi="仿宋" w:cs="仿宋" w:hint="eastAsia"/>
          <w:sz w:val="28"/>
          <w:szCs w:val="28"/>
        </w:rPr>
        <w:t>、电子屏</w:t>
      </w:r>
      <w:r>
        <w:rPr>
          <w:rFonts w:ascii="仿宋" w:eastAsia="仿宋" w:hAnsi="仿宋" w:cs="仿宋" w:hint="eastAsia"/>
          <w:sz w:val="28"/>
          <w:szCs w:val="28"/>
        </w:rPr>
        <w:t>及</w:t>
      </w:r>
      <w:r w:rsidRPr="00F934E6">
        <w:rPr>
          <w:rFonts w:ascii="仿宋" w:eastAsia="仿宋" w:hAnsi="仿宋" w:cs="仿宋" w:hint="eastAsia"/>
          <w:sz w:val="28"/>
          <w:szCs w:val="28"/>
        </w:rPr>
        <w:t>利用网站、QQ群、微博</w:t>
      </w:r>
      <w:r>
        <w:rPr>
          <w:rFonts w:ascii="仿宋" w:eastAsia="仿宋" w:hAnsi="仿宋" w:cs="仿宋" w:hint="eastAsia"/>
          <w:sz w:val="28"/>
          <w:szCs w:val="28"/>
        </w:rPr>
        <w:t>、微信</w:t>
      </w:r>
      <w:r w:rsidRPr="00F934E6">
        <w:rPr>
          <w:rFonts w:ascii="仿宋" w:eastAsia="仿宋" w:hAnsi="仿宋" w:cs="仿宋" w:hint="eastAsia"/>
          <w:sz w:val="28"/>
          <w:szCs w:val="28"/>
        </w:rPr>
        <w:t>等形式，</w:t>
      </w:r>
      <w:r w:rsidR="00853F79">
        <w:rPr>
          <w:rFonts w:ascii="仿宋" w:eastAsia="仿宋" w:hAnsi="仿宋" w:cs="仿宋" w:hint="eastAsia"/>
          <w:sz w:val="28"/>
          <w:szCs w:val="28"/>
        </w:rPr>
        <w:t>举办各具特色的考试宣传教育活动，</w:t>
      </w:r>
      <w:r w:rsidRPr="00F934E6">
        <w:rPr>
          <w:rFonts w:ascii="仿宋" w:eastAsia="仿宋" w:hAnsi="仿宋" w:cs="仿宋" w:hint="eastAsia"/>
          <w:sz w:val="28"/>
          <w:szCs w:val="28"/>
        </w:rPr>
        <w:t>进行</w:t>
      </w:r>
      <w:r>
        <w:rPr>
          <w:rFonts w:ascii="仿宋" w:eastAsia="仿宋" w:hAnsi="仿宋" w:cs="仿宋" w:hint="eastAsia"/>
          <w:sz w:val="28"/>
          <w:szCs w:val="28"/>
        </w:rPr>
        <w:t>全方位的</w:t>
      </w:r>
      <w:r w:rsidRPr="00F934E6">
        <w:rPr>
          <w:rFonts w:ascii="仿宋" w:eastAsia="仿宋" w:hAnsi="仿宋" w:cs="仿宋" w:hint="eastAsia"/>
          <w:sz w:val="28"/>
          <w:szCs w:val="28"/>
        </w:rPr>
        <w:t>考试宣传教育和培训工</w:t>
      </w:r>
      <w:r w:rsidRPr="00F934E6">
        <w:rPr>
          <w:rFonts w:ascii="仿宋" w:eastAsia="仿宋" w:hAnsi="仿宋" w:cs="仿宋" w:hint="eastAsia"/>
          <w:sz w:val="28"/>
          <w:szCs w:val="28"/>
        </w:rPr>
        <w:lastRenderedPageBreak/>
        <w:t>作，营造了良好的考试氛围。</w:t>
      </w:r>
    </w:p>
    <w:p w:rsidR="00E86BC5" w:rsidRDefault="00670BFB" w:rsidP="002C41D9">
      <w:pPr>
        <w:spacing w:line="560" w:lineRule="exact"/>
        <w:ind w:firstLineChars="200" w:firstLine="560"/>
        <w:rPr>
          <w:rFonts w:ascii="仿宋" w:eastAsia="仿宋" w:hAnsi="仿宋" w:cs="仿宋"/>
          <w:sz w:val="28"/>
          <w:szCs w:val="28"/>
        </w:rPr>
      </w:pPr>
      <w:r w:rsidRPr="00E931A8">
        <w:rPr>
          <w:rFonts w:ascii="仿宋" w:eastAsia="仿宋" w:hAnsi="仿宋" w:cs="仿宋" w:hint="eastAsia"/>
          <w:sz w:val="28"/>
          <w:szCs w:val="28"/>
        </w:rPr>
        <w:t>3</w:t>
      </w:r>
      <w:r>
        <w:rPr>
          <w:rFonts w:ascii="仿宋" w:eastAsia="仿宋" w:hAnsi="仿宋" w:cs="仿宋" w:hint="eastAsia"/>
          <w:sz w:val="28"/>
          <w:szCs w:val="28"/>
        </w:rPr>
        <w:t>、</w:t>
      </w:r>
      <w:r w:rsidR="007553FB">
        <w:rPr>
          <w:rFonts w:ascii="仿宋" w:eastAsia="仿宋" w:hAnsi="仿宋" w:cs="仿宋" w:hint="eastAsia"/>
          <w:sz w:val="28"/>
          <w:szCs w:val="28"/>
        </w:rPr>
        <w:t>召开</w:t>
      </w:r>
      <w:r w:rsidR="00F870E8">
        <w:rPr>
          <w:rFonts w:ascii="仿宋" w:eastAsia="仿宋" w:hAnsi="仿宋" w:cs="仿宋" w:hint="eastAsia"/>
          <w:sz w:val="28"/>
          <w:szCs w:val="28"/>
        </w:rPr>
        <w:t>考前检查</w:t>
      </w:r>
      <w:r w:rsidR="007553FB">
        <w:rPr>
          <w:rFonts w:ascii="仿宋" w:eastAsia="仿宋" w:hAnsi="仿宋" w:cs="仿宋" w:hint="eastAsia"/>
          <w:sz w:val="28"/>
          <w:szCs w:val="28"/>
        </w:rPr>
        <w:t>和交流会</w:t>
      </w:r>
      <w:r w:rsidR="00A97DD8">
        <w:rPr>
          <w:rFonts w:ascii="仿宋" w:eastAsia="仿宋" w:hAnsi="仿宋" w:cs="仿宋" w:hint="eastAsia"/>
          <w:sz w:val="28"/>
          <w:szCs w:val="28"/>
        </w:rPr>
        <w:t>，落实各项</w:t>
      </w:r>
      <w:r w:rsidR="007B0906">
        <w:rPr>
          <w:rFonts w:ascii="仿宋" w:eastAsia="仿宋" w:hAnsi="仿宋" w:cs="仿宋" w:hint="eastAsia"/>
          <w:sz w:val="28"/>
          <w:szCs w:val="28"/>
        </w:rPr>
        <w:t>考前工作。第18周，教务处联合学生工作部（处）、教学督导委组织各学院、教学单位及教学大楼</w:t>
      </w:r>
      <w:r w:rsidR="007553FB">
        <w:rPr>
          <w:rFonts w:ascii="仿宋" w:eastAsia="仿宋" w:hAnsi="仿宋" w:cs="仿宋" w:hint="eastAsia"/>
          <w:sz w:val="28"/>
          <w:szCs w:val="28"/>
        </w:rPr>
        <w:t>，分成5组召开了考前工作检查和交流会，从</w:t>
      </w:r>
      <w:r w:rsidR="007B0906">
        <w:rPr>
          <w:rFonts w:ascii="仿宋" w:eastAsia="仿宋" w:hAnsi="仿宋" w:cs="仿宋" w:hint="eastAsia"/>
          <w:sz w:val="28"/>
          <w:szCs w:val="28"/>
        </w:rPr>
        <w:t>命题、试卷</w:t>
      </w:r>
      <w:r w:rsidR="007553FB">
        <w:rPr>
          <w:rFonts w:ascii="仿宋" w:eastAsia="仿宋" w:hAnsi="仿宋" w:cs="仿宋" w:hint="eastAsia"/>
          <w:sz w:val="28"/>
          <w:szCs w:val="28"/>
        </w:rPr>
        <w:t>管理</w:t>
      </w:r>
      <w:r w:rsidR="007B0906">
        <w:rPr>
          <w:rFonts w:ascii="仿宋" w:eastAsia="仿宋" w:hAnsi="仿宋" w:cs="仿宋" w:hint="eastAsia"/>
          <w:sz w:val="28"/>
          <w:szCs w:val="28"/>
        </w:rPr>
        <w:t>、</w:t>
      </w:r>
      <w:r w:rsidR="007553FB">
        <w:rPr>
          <w:rFonts w:ascii="仿宋" w:eastAsia="仿宋" w:hAnsi="仿宋" w:cs="仿宋" w:hint="eastAsia"/>
          <w:sz w:val="28"/>
          <w:szCs w:val="28"/>
        </w:rPr>
        <w:t>考试动员</w:t>
      </w:r>
      <w:r w:rsidR="007B0906">
        <w:rPr>
          <w:rFonts w:ascii="仿宋" w:eastAsia="仿宋" w:hAnsi="仿宋" w:cs="仿宋" w:hint="eastAsia"/>
          <w:sz w:val="28"/>
          <w:szCs w:val="28"/>
        </w:rPr>
        <w:t>、考试安排、应急管理等各项考前准备工作</w:t>
      </w:r>
      <w:r w:rsidR="007553FB">
        <w:rPr>
          <w:rFonts w:ascii="仿宋" w:eastAsia="仿宋" w:hAnsi="仿宋" w:cs="仿宋" w:hint="eastAsia"/>
          <w:sz w:val="28"/>
          <w:szCs w:val="28"/>
        </w:rPr>
        <w:t>进行</w:t>
      </w:r>
      <w:r w:rsidR="007B0906">
        <w:rPr>
          <w:rFonts w:ascii="仿宋" w:eastAsia="仿宋" w:hAnsi="仿宋" w:cs="仿宋" w:hint="eastAsia"/>
          <w:sz w:val="28"/>
          <w:szCs w:val="28"/>
        </w:rPr>
        <w:t>检查</w:t>
      </w:r>
      <w:r w:rsidR="002B2784">
        <w:rPr>
          <w:rFonts w:ascii="仿宋" w:eastAsia="仿宋" w:hAnsi="仿宋" w:cs="仿宋" w:hint="eastAsia"/>
          <w:sz w:val="28"/>
          <w:szCs w:val="28"/>
        </w:rPr>
        <w:t>和交流，</w:t>
      </w:r>
      <w:r w:rsidR="007553FB">
        <w:rPr>
          <w:rFonts w:ascii="仿宋" w:eastAsia="仿宋" w:hAnsi="仿宋" w:cs="仿宋" w:hint="eastAsia"/>
          <w:sz w:val="28"/>
          <w:szCs w:val="28"/>
        </w:rPr>
        <w:t>各学院交流考试管理经验，相互学习，认真做好</w:t>
      </w:r>
      <w:r w:rsidR="002B2784">
        <w:rPr>
          <w:rFonts w:ascii="仿宋" w:eastAsia="仿宋" w:hAnsi="仿宋" w:cs="仿宋" w:hint="eastAsia"/>
          <w:sz w:val="28"/>
          <w:szCs w:val="28"/>
        </w:rPr>
        <w:t>考试工作。</w:t>
      </w:r>
    </w:p>
    <w:p w:rsidR="00670BFB" w:rsidRDefault="00E86BC5" w:rsidP="002C41D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970F28">
        <w:rPr>
          <w:rFonts w:ascii="仿宋" w:eastAsia="仿宋" w:hAnsi="仿宋" w:cs="仿宋" w:hint="eastAsia"/>
          <w:sz w:val="28"/>
          <w:szCs w:val="28"/>
        </w:rPr>
        <w:t>建立</w:t>
      </w:r>
      <w:r w:rsidR="00670BFB">
        <w:rPr>
          <w:rFonts w:ascii="仿宋" w:eastAsia="仿宋" w:hAnsi="仿宋" w:cs="仿宋" w:hint="eastAsia"/>
          <w:sz w:val="28"/>
          <w:szCs w:val="28"/>
        </w:rPr>
        <w:t>全方位</w:t>
      </w:r>
      <w:r w:rsidR="00670BFB" w:rsidRPr="00E931A8">
        <w:rPr>
          <w:rFonts w:ascii="仿宋" w:eastAsia="仿宋" w:hAnsi="仿宋" w:cs="仿宋" w:hint="eastAsia"/>
          <w:sz w:val="28"/>
          <w:szCs w:val="28"/>
        </w:rPr>
        <w:t>监控体系。逐步形成了以学校领导带头进考场巡查，职能部门、学院负责人、教学督导委员三级巡查</w:t>
      </w:r>
      <w:r w:rsidR="001B676C">
        <w:rPr>
          <w:rFonts w:ascii="仿宋" w:eastAsia="仿宋" w:hAnsi="仿宋" w:cs="仿宋" w:hint="eastAsia"/>
          <w:sz w:val="28"/>
          <w:szCs w:val="28"/>
        </w:rPr>
        <w:t>体系</w:t>
      </w:r>
      <w:r w:rsidR="00670BFB" w:rsidRPr="00E931A8">
        <w:rPr>
          <w:rFonts w:ascii="仿宋" w:eastAsia="仿宋" w:hAnsi="仿宋" w:cs="仿宋" w:hint="eastAsia"/>
          <w:sz w:val="28"/>
          <w:szCs w:val="28"/>
        </w:rPr>
        <w:t>，通过现场巡查与闭路监控巡查相结合的全方位全过程的立体巡查监控</w:t>
      </w:r>
      <w:r w:rsidR="001B676C">
        <w:rPr>
          <w:rFonts w:ascii="仿宋" w:eastAsia="仿宋" w:hAnsi="仿宋" w:cs="仿宋" w:hint="eastAsia"/>
          <w:sz w:val="28"/>
          <w:szCs w:val="28"/>
        </w:rPr>
        <w:t>网</w:t>
      </w:r>
      <w:r w:rsidR="00670BFB" w:rsidRPr="00E931A8">
        <w:rPr>
          <w:rFonts w:ascii="仿宋" w:eastAsia="仿宋" w:hAnsi="仿宋" w:cs="仿宋" w:hint="eastAsia"/>
          <w:sz w:val="28"/>
          <w:szCs w:val="28"/>
        </w:rPr>
        <w:t xml:space="preserve">。    </w:t>
      </w:r>
    </w:p>
    <w:p w:rsidR="00970F28" w:rsidRDefault="00E86BC5" w:rsidP="002C41D9">
      <w:pPr>
        <w:pStyle w:val="a6"/>
        <w:shd w:val="clear" w:color="auto" w:fill="FFFFFF"/>
        <w:spacing w:before="0" w:beforeAutospacing="0" w:after="150" w:afterAutospacing="0" w:line="560" w:lineRule="exact"/>
        <w:ind w:firstLineChars="221" w:firstLine="619"/>
        <w:jc w:val="both"/>
        <w:rPr>
          <w:rFonts w:ascii="仿宋" w:eastAsia="仿宋" w:hAnsi="仿宋" w:cs="仿宋"/>
          <w:sz w:val="28"/>
          <w:szCs w:val="28"/>
        </w:rPr>
      </w:pPr>
      <w:r>
        <w:rPr>
          <w:rFonts w:ascii="仿宋" w:eastAsia="仿宋" w:hAnsi="仿宋" w:cs="仿宋" w:hint="eastAsia"/>
          <w:sz w:val="28"/>
          <w:szCs w:val="28"/>
        </w:rPr>
        <w:t>5、</w:t>
      </w:r>
      <w:r w:rsidR="00970F28">
        <w:rPr>
          <w:rFonts w:ascii="仿宋" w:eastAsia="仿宋" w:hAnsi="仿宋" w:cs="仿宋" w:hint="eastAsia"/>
          <w:sz w:val="28"/>
          <w:szCs w:val="28"/>
        </w:rPr>
        <w:t>建立考试情况通报制度。教务处每天汇总三校区的考试情况，及时通过主管教学院长QQ群通报考试情况，及时解决考试过程中出现的问题，提醒各学院加强考试管理和考风考纪教育。</w:t>
      </w:r>
    </w:p>
    <w:p w:rsidR="00670BFB" w:rsidRDefault="00970F28" w:rsidP="002C41D9">
      <w:pPr>
        <w:pStyle w:val="a6"/>
        <w:shd w:val="clear" w:color="auto" w:fill="FFFFFF"/>
        <w:spacing w:before="0" w:beforeAutospacing="0" w:after="150" w:afterAutospacing="0" w:line="560" w:lineRule="exact"/>
        <w:ind w:firstLineChars="221" w:firstLine="619"/>
        <w:jc w:val="both"/>
        <w:rPr>
          <w:rFonts w:ascii="仿宋" w:eastAsia="仿宋" w:hAnsi="仿宋" w:cs="仿宋"/>
          <w:sz w:val="28"/>
          <w:szCs w:val="28"/>
        </w:rPr>
      </w:pPr>
      <w:r>
        <w:rPr>
          <w:rFonts w:ascii="仿宋" w:eastAsia="仿宋" w:hAnsi="仿宋" w:cs="仿宋" w:hint="eastAsia"/>
          <w:sz w:val="28"/>
          <w:szCs w:val="28"/>
        </w:rPr>
        <w:t>6、建立考试</w:t>
      </w:r>
      <w:r w:rsidR="00670BFB">
        <w:rPr>
          <w:rFonts w:ascii="仿宋" w:eastAsia="仿宋" w:hAnsi="仿宋" w:cs="仿宋" w:hint="eastAsia"/>
          <w:sz w:val="28"/>
          <w:szCs w:val="28"/>
        </w:rPr>
        <w:t>应急处理</w:t>
      </w:r>
      <w:r>
        <w:rPr>
          <w:rFonts w:ascii="仿宋" w:eastAsia="仿宋" w:hAnsi="仿宋" w:cs="仿宋" w:hint="eastAsia"/>
          <w:sz w:val="28"/>
          <w:szCs w:val="28"/>
        </w:rPr>
        <w:t>机制。</w:t>
      </w:r>
      <w:r w:rsidR="00670BFB">
        <w:rPr>
          <w:rFonts w:ascii="仿宋" w:eastAsia="仿宋" w:hAnsi="仿宋" w:cs="仿宋" w:hint="eastAsia"/>
          <w:sz w:val="28"/>
          <w:szCs w:val="28"/>
        </w:rPr>
        <w:t>各学院</w:t>
      </w:r>
      <w:r>
        <w:rPr>
          <w:rFonts w:ascii="仿宋" w:eastAsia="仿宋" w:hAnsi="仿宋" w:cs="仿宋" w:hint="eastAsia"/>
          <w:sz w:val="28"/>
          <w:szCs w:val="28"/>
        </w:rPr>
        <w:t>都制定了考试应急管理方案，针</w:t>
      </w:r>
      <w:r w:rsidR="00670BFB">
        <w:rPr>
          <w:rFonts w:ascii="仿宋" w:eastAsia="仿宋" w:hAnsi="仿宋" w:cs="仿宋" w:hint="eastAsia"/>
          <w:sz w:val="28"/>
          <w:szCs w:val="28"/>
        </w:rPr>
        <w:t>对考试</w:t>
      </w:r>
      <w:r>
        <w:rPr>
          <w:rFonts w:ascii="仿宋" w:eastAsia="仿宋" w:hAnsi="仿宋" w:cs="仿宋" w:hint="eastAsia"/>
          <w:sz w:val="28"/>
          <w:szCs w:val="28"/>
        </w:rPr>
        <w:t>过程</w:t>
      </w:r>
      <w:r w:rsidR="00670BFB">
        <w:rPr>
          <w:rFonts w:ascii="仿宋" w:eastAsia="仿宋" w:hAnsi="仿宋" w:cs="仿宋" w:hint="eastAsia"/>
          <w:sz w:val="28"/>
          <w:szCs w:val="28"/>
        </w:rPr>
        <w:t>中</w:t>
      </w:r>
      <w:r>
        <w:rPr>
          <w:rFonts w:ascii="仿宋" w:eastAsia="仿宋" w:hAnsi="仿宋" w:cs="仿宋" w:hint="eastAsia"/>
          <w:sz w:val="28"/>
          <w:szCs w:val="28"/>
        </w:rPr>
        <w:t>可能</w:t>
      </w:r>
      <w:r w:rsidR="00670BFB">
        <w:rPr>
          <w:rFonts w:ascii="仿宋" w:eastAsia="仿宋" w:hAnsi="仿宋" w:cs="仿宋" w:hint="eastAsia"/>
          <w:sz w:val="28"/>
          <w:szCs w:val="28"/>
        </w:rPr>
        <w:t>出现的问题</w:t>
      </w:r>
      <w:r w:rsidR="00F870E8">
        <w:rPr>
          <w:rFonts w:ascii="仿宋" w:eastAsia="仿宋" w:hAnsi="仿宋" w:cs="仿宋" w:hint="eastAsia"/>
          <w:sz w:val="28"/>
          <w:szCs w:val="28"/>
        </w:rPr>
        <w:t>制定应急处置办法，及时应对各种考试异常现象</w:t>
      </w:r>
      <w:r w:rsidR="00670BFB" w:rsidRPr="00882EEF">
        <w:rPr>
          <w:rFonts w:ascii="仿宋" w:eastAsia="仿宋" w:hAnsi="仿宋" w:cs="仿宋"/>
          <w:sz w:val="28"/>
          <w:szCs w:val="28"/>
        </w:rPr>
        <w:t>。</w:t>
      </w:r>
    </w:p>
    <w:p w:rsidR="00BF7DD3" w:rsidRPr="001B676C" w:rsidRDefault="00BF7DD3" w:rsidP="002C41D9">
      <w:pPr>
        <w:pStyle w:val="a6"/>
        <w:shd w:val="clear" w:color="auto" w:fill="FFFFFF"/>
        <w:spacing w:before="0" w:beforeAutospacing="0" w:after="150" w:afterAutospacing="0" w:line="560" w:lineRule="exact"/>
        <w:ind w:firstLine="480"/>
        <w:jc w:val="both"/>
        <w:rPr>
          <w:rFonts w:ascii="仿宋" w:eastAsia="仿宋" w:hAnsi="仿宋" w:cs="仿宋"/>
          <w:b/>
          <w:sz w:val="28"/>
          <w:szCs w:val="28"/>
        </w:rPr>
      </w:pPr>
      <w:r w:rsidRPr="001B676C">
        <w:rPr>
          <w:rFonts w:ascii="仿宋" w:eastAsia="仿宋" w:hAnsi="仿宋" w:cs="仿宋" w:hint="eastAsia"/>
          <w:b/>
          <w:sz w:val="28"/>
          <w:szCs w:val="28"/>
        </w:rPr>
        <w:t>三、不足之处</w:t>
      </w:r>
    </w:p>
    <w:p w:rsidR="00BF7DD3" w:rsidRDefault="00BF7DD3" w:rsidP="002C41D9">
      <w:pPr>
        <w:pStyle w:val="a6"/>
        <w:shd w:val="clear" w:color="auto" w:fill="FFFFFF"/>
        <w:spacing w:before="0" w:beforeAutospacing="0" w:after="150" w:afterAutospacing="0" w:line="560" w:lineRule="exact"/>
        <w:ind w:firstLine="480"/>
        <w:jc w:val="both"/>
        <w:rPr>
          <w:rFonts w:ascii="仿宋" w:eastAsia="仿宋" w:hAnsi="仿宋" w:cs="仿宋"/>
          <w:sz w:val="28"/>
          <w:szCs w:val="28"/>
        </w:rPr>
      </w:pPr>
      <w:r>
        <w:rPr>
          <w:rFonts w:ascii="仿宋" w:eastAsia="仿宋" w:hAnsi="仿宋" w:cs="仿宋" w:hint="eastAsia"/>
          <w:sz w:val="28"/>
          <w:szCs w:val="28"/>
        </w:rPr>
        <w:t>1、仍然有个别学生忘记带齐证件参加考试，个别学生迟到</w:t>
      </w:r>
      <w:r w:rsidR="00F870E8">
        <w:rPr>
          <w:rFonts w:ascii="仿宋" w:eastAsia="仿宋" w:hAnsi="仿宋" w:cs="仿宋" w:hint="eastAsia"/>
          <w:sz w:val="28"/>
          <w:szCs w:val="28"/>
        </w:rPr>
        <w:t>，发现1例学生夹带资料进考场的作弊行为</w:t>
      </w:r>
      <w:r>
        <w:rPr>
          <w:rFonts w:ascii="仿宋" w:eastAsia="仿宋" w:hAnsi="仿宋" w:cs="仿宋" w:hint="eastAsia"/>
          <w:sz w:val="28"/>
          <w:szCs w:val="28"/>
        </w:rPr>
        <w:t>等。</w:t>
      </w:r>
    </w:p>
    <w:p w:rsidR="00BF7DD3" w:rsidRDefault="00BF7DD3" w:rsidP="002C41D9">
      <w:pPr>
        <w:pStyle w:val="a6"/>
        <w:shd w:val="clear" w:color="auto" w:fill="FFFFFF"/>
        <w:spacing w:before="0" w:beforeAutospacing="0" w:after="150" w:afterAutospacing="0" w:line="560" w:lineRule="exact"/>
        <w:ind w:firstLine="480"/>
        <w:jc w:val="both"/>
        <w:rPr>
          <w:rFonts w:ascii="仿宋" w:eastAsia="仿宋" w:hAnsi="仿宋" w:cs="仿宋"/>
          <w:sz w:val="28"/>
          <w:szCs w:val="28"/>
        </w:rPr>
      </w:pPr>
      <w:r>
        <w:rPr>
          <w:rFonts w:ascii="仿宋" w:eastAsia="仿宋" w:hAnsi="仿宋" w:cs="仿宋" w:hint="eastAsia"/>
          <w:sz w:val="28"/>
          <w:szCs w:val="28"/>
        </w:rPr>
        <w:t>2、</w:t>
      </w:r>
      <w:r w:rsidR="00F870E8">
        <w:rPr>
          <w:rFonts w:ascii="仿宋" w:eastAsia="仿宋" w:hAnsi="仿宋" w:cs="仿宋" w:hint="eastAsia"/>
          <w:sz w:val="28"/>
          <w:szCs w:val="28"/>
        </w:rPr>
        <w:t>发现</w:t>
      </w:r>
      <w:r>
        <w:rPr>
          <w:rFonts w:ascii="仿宋" w:eastAsia="仿宋" w:hAnsi="仿宋" w:cs="仿宋" w:hint="eastAsia"/>
          <w:sz w:val="28"/>
          <w:szCs w:val="28"/>
        </w:rPr>
        <w:t>个别监考教师未佩戴“监考证”</w:t>
      </w:r>
      <w:r w:rsidR="00F870E8">
        <w:rPr>
          <w:rFonts w:ascii="仿宋" w:eastAsia="仿宋" w:hAnsi="仿宋" w:cs="仿宋" w:hint="eastAsia"/>
          <w:sz w:val="28"/>
          <w:szCs w:val="28"/>
        </w:rPr>
        <w:t>参加监考</w:t>
      </w:r>
      <w:r>
        <w:rPr>
          <w:rFonts w:ascii="仿宋" w:eastAsia="仿宋" w:hAnsi="仿宋" w:cs="仿宋" w:hint="eastAsia"/>
          <w:sz w:val="28"/>
          <w:szCs w:val="28"/>
        </w:rPr>
        <w:t>。</w:t>
      </w:r>
    </w:p>
    <w:p w:rsidR="006E0648" w:rsidRPr="001806E8" w:rsidRDefault="00BF7DD3" w:rsidP="002C41D9">
      <w:pPr>
        <w:spacing w:line="560" w:lineRule="exact"/>
        <w:ind w:firstLineChars="200" w:firstLine="560"/>
        <w:rPr>
          <w:rFonts w:ascii="仿宋" w:eastAsia="仿宋" w:hAnsi="仿宋" w:cs="仿宋"/>
          <w:sz w:val="28"/>
          <w:szCs w:val="28"/>
        </w:rPr>
        <w:sectPr w:rsidR="006E0648" w:rsidRPr="001806E8" w:rsidSect="004A0515">
          <w:pgSz w:w="11906" w:h="16838"/>
          <w:pgMar w:top="1440" w:right="1800" w:bottom="1440" w:left="1800" w:header="851" w:footer="992" w:gutter="0"/>
          <w:cols w:space="425"/>
          <w:docGrid w:type="lines" w:linePitch="312"/>
        </w:sectPr>
      </w:pPr>
      <w:r w:rsidRPr="00841B5C">
        <w:rPr>
          <w:rFonts w:ascii="仿宋" w:eastAsia="仿宋" w:hAnsi="仿宋" w:cs="仿宋" w:hint="eastAsia"/>
          <w:sz w:val="28"/>
          <w:szCs w:val="28"/>
        </w:rPr>
        <w:t>本次期末考试在全体师生的共同努力之下，管理规范，组织严密有序，师生的精神风貌良好，教师严格履行监考工作职责做好监考，</w:t>
      </w:r>
      <w:r>
        <w:rPr>
          <w:rFonts w:ascii="仿宋" w:eastAsia="仿宋" w:hAnsi="仿宋" w:cs="仿宋" w:hint="eastAsia"/>
          <w:sz w:val="28"/>
          <w:szCs w:val="28"/>
        </w:rPr>
        <w:t>按时录入成绩，</w:t>
      </w:r>
      <w:r w:rsidRPr="00841B5C">
        <w:rPr>
          <w:rFonts w:ascii="仿宋" w:eastAsia="仿宋" w:hAnsi="仿宋" w:cs="仿宋" w:hint="eastAsia"/>
          <w:sz w:val="28"/>
          <w:szCs w:val="28"/>
        </w:rPr>
        <w:t>学生严格遵守考场纪律认真考试</w:t>
      </w:r>
      <w:r>
        <w:rPr>
          <w:rFonts w:ascii="仿宋" w:eastAsia="仿宋" w:hAnsi="仿宋" w:cs="仿宋" w:hint="eastAsia"/>
          <w:sz w:val="28"/>
          <w:szCs w:val="28"/>
        </w:rPr>
        <w:t>，</w:t>
      </w:r>
      <w:r w:rsidRPr="00841B5C">
        <w:rPr>
          <w:rFonts w:ascii="仿宋" w:eastAsia="仿宋" w:hAnsi="仿宋" w:cs="仿宋" w:hint="eastAsia"/>
          <w:sz w:val="28"/>
          <w:szCs w:val="28"/>
        </w:rPr>
        <w:t>考场内规范</w:t>
      </w:r>
      <w:r>
        <w:rPr>
          <w:rFonts w:ascii="仿宋" w:eastAsia="仿宋" w:hAnsi="仿宋" w:cs="仿宋" w:hint="eastAsia"/>
          <w:sz w:val="28"/>
          <w:szCs w:val="28"/>
        </w:rPr>
        <w:t>有序</w:t>
      </w:r>
      <w:r w:rsidRPr="00841B5C">
        <w:rPr>
          <w:rFonts w:ascii="仿宋" w:eastAsia="仿宋" w:hAnsi="仿宋" w:cs="仿宋" w:hint="eastAsia"/>
          <w:sz w:val="28"/>
          <w:szCs w:val="28"/>
        </w:rPr>
        <w:t>，文明考试、诚信考试深入人心，考风考纪</w:t>
      </w:r>
      <w:r w:rsidR="001806E8">
        <w:rPr>
          <w:rFonts w:ascii="仿宋" w:eastAsia="仿宋" w:hAnsi="仿宋" w:cs="仿宋" w:hint="eastAsia"/>
          <w:sz w:val="28"/>
          <w:szCs w:val="28"/>
        </w:rPr>
        <w:t>良好。</w:t>
      </w:r>
    </w:p>
    <w:p w:rsidR="006E0648" w:rsidRPr="001806E8" w:rsidRDefault="006E0648" w:rsidP="001806E8">
      <w:pPr>
        <w:pStyle w:val="a7"/>
        <w:jc w:val="both"/>
      </w:pPr>
    </w:p>
    <w:sectPr w:rsidR="006E0648" w:rsidRPr="001806E8" w:rsidSect="006E064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D6D" w:rsidRDefault="00743D6D" w:rsidP="009B1790">
      <w:r>
        <w:separator/>
      </w:r>
    </w:p>
  </w:endnote>
  <w:endnote w:type="continuationSeparator" w:id="1">
    <w:p w:rsidR="00743D6D" w:rsidRDefault="00743D6D" w:rsidP="009B1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D6D" w:rsidRDefault="00743D6D" w:rsidP="009B1790">
      <w:r>
        <w:separator/>
      </w:r>
    </w:p>
  </w:footnote>
  <w:footnote w:type="continuationSeparator" w:id="1">
    <w:p w:rsidR="00743D6D" w:rsidRDefault="00743D6D" w:rsidP="009B1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790"/>
    <w:rsid w:val="00040641"/>
    <w:rsid w:val="00074021"/>
    <w:rsid w:val="00093AC1"/>
    <w:rsid w:val="000A527D"/>
    <w:rsid w:val="001028DC"/>
    <w:rsid w:val="00126060"/>
    <w:rsid w:val="001806E8"/>
    <w:rsid w:val="001B676C"/>
    <w:rsid w:val="002313CC"/>
    <w:rsid w:val="002B2784"/>
    <w:rsid w:val="002C41D9"/>
    <w:rsid w:val="00324413"/>
    <w:rsid w:val="003856AC"/>
    <w:rsid w:val="003E7056"/>
    <w:rsid w:val="00495902"/>
    <w:rsid w:val="004A0515"/>
    <w:rsid w:val="005324E6"/>
    <w:rsid w:val="00556B10"/>
    <w:rsid w:val="00561EF9"/>
    <w:rsid w:val="00605EFF"/>
    <w:rsid w:val="00653499"/>
    <w:rsid w:val="00670BFB"/>
    <w:rsid w:val="00696F4C"/>
    <w:rsid w:val="006C5551"/>
    <w:rsid w:val="006E0648"/>
    <w:rsid w:val="00743D6D"/>
    <w:rsid w:val="007553FB"/>
    <w:rsid w:val="00787472"/>
    <w:rsid w:val="007B0906"/>
    <w:rsid w:val="00810EAC"/>
    <w:rsid w:val="00853F79"/>
    <w:rsid w:val="008909A7"/>
    <w:rsid w:val="008E0B04"/>
    <w:rsid w:val="008E5CB3"/>
    <w:rsid w:val="00970F28"/>
    <w:rsid w:val="009B1790"/>
    <w:rsid w:val="009B200F"/>
    <w:rsid w:val="009C07C0"/>
    <w:rsid w:val="00A97DD8"/>
    <w:rsid w:val="00B05280"/>
    <w:rsid w:val="00B8467C"/>
    <w:rsid w:val="00BF7DD3"/>
    <w:rsid w:val="00C53F43"/>
    <w:rsid w:val="00C63C13"/>
    <w:rsid w:val="00CE5929"/>
    <w:rsid w:val="00CF333E"/>
    <w:rsid w:val="00DE76B0"/>
    <w:rsid w:val="00E86BC5"/>
    <w:rsid w:val="00F257CB"/>
    <w:rsid w:val="00F870E8"/>
    <w:rsid w:val="00FF3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7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B1790"/>
    <w:rPr>
      <w:sz w:val="18"/>
      <w:szCs w:val="18"/>
    </w:rPr>
  </w:style>
  <w:style w:type="paragraph" w:styleId="a4">
    <w:name w:val="footer"/>
    <w:basedOn w:val="a"/>
    <w:link w:val="Char0"/>
    <w:uiPriority w:val="99"/>
    <w:semiHidden/>
    <w:unhideWhenUsed/>
    <w:rsid w:val="009B17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B1790"/>
    <w:rPr>
      <w:sz w:val="18"/>
      <w:szCs w:val="18"/>
    </w:rPr>
  </w:style>
  <w:style w:type="table" w:styleId="a5">
    <w:name w:val="Table Grid"/>
    <w:basedOn w:val="a1"/>
    <w:uiPriority w:val="59"/>
    <w:rsid w:val="00DE76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670BFB"/>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1"/>
    <w:uiPriority w:val="10"/>
    <w:qFormat/>
    <w:rsid w:val="00BF7DD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BF7DD3"/>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曹剑辉</dc:creator>
  <cp:keywords/>
  <dc:description/>
  <cp:lastModifiedBy>曹剑辉</cp:lastModifiedBy>
  <cp:revision>17</cp:revision>
  <dcterms:created xsi:type="dcterms:W3CDTF">2017-07-10T09:12:00Z</dcterms:created>
  <dcterms:modified xsi:type="dcterms:W3CDTF">2017-12-20T09:08:00Z</dcterms:modified>
</cp:coreProperties>
</file>