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lang w:val="en-US" w:eastAsia="zh-CN"/>
        </w:rPr>
        <w:t>讲党史故事，做奋进青年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cs="Arial"/>
          <w:color w:val="auto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各学院：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5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百年征程波澜壮阔，百年初心历久弥坚。为庆祝中国共产党成立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周年，深入学习贯彻习近平总书记在党史学习教育动员大会上的重要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讲话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精神，重温党的光辉历程，回顾党的伟大成就，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感悟思想伟力，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引领全校师生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学史明理、学史增信、学史崇德、学史力行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，现决定面向全校开展“讲党史故事，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做奋进青年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”主题活动。现将活动事项通知如下：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一、活动主题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讲党史故事，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做奋进青年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二、组织单位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主办单位：华南师范大学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党委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学生工作部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学生工作处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60" w:firstLineChars="7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华南师范大学关心下一代工作委员会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承办单位：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华南师范大学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历史文化学院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60" w:firstLineChars="7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教师职业发展工作室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三、活动对象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华南师范大学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全体师生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四、活动时间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月至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五、活动形式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通过朗诵、演讲、情景剧等，创新讲述方式，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歌颂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党的奋斗历程、光荣传统、优良作风、宝贵经验和伟大成就；或者深入挖掘校史、校训、校歌、校友中的红色元素和党史故事，展演学校党建历史。作品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要求符合法律法规以及相关史实，主题鲜明、内容健康向上。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（一）初赛：</w:t>
      </w:r>
      <w:r>
        <w:rPr>
          <w:rStyle w:val="8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月上旬-</w:t>
      </w:r>
      <w:r>
        <w:rPr>
          <w:rStyle w:val="8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Style w:val="8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2</w:t>
      </w:r>
      <w:r>
        <w:rPr>
          <w:rStyle w:val="8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初赛以视频形式进行。参赛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队伍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需将展演的内容进行现场录制，不需要额外剪辑和编辑。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初赛对服装、道具不做硬性要求，参赛队伍可根据讲述需要自行把握。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初赛将遴选若干个优秀作品进入决赛。</w:t>
      </w:r>
    </w:p>
    <w:p>
      <w:pPr>
        <w:pStyle w:val="4"/>
        <w:keepNext w:val="0"/>
        <w:keepLines w:val="0"/>
        <w:pageBreakBefore w:val="0"/>
        <w:widowControl/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（二）决赛：</w:t>
      </w:r>
      <w:r>
        <w:rPr>
          <w:rStyle w:val="8"/>
          <w:rFonts w:hint="eastAsia" w:ascii="Times New Roman" w:hAnsi="Times New Roman" w:eastAsia="仿宋" w:cs="仿宋"/>
          <w:b w:val="0"/>
          <w:bCs w:val="0"/>
          <w:color w:val="auto"/>
          <w:sz w:val="28"/>
          <w:szCs w:val="28"/>
          <w:lang w:eastAsia="zh-CN"/>
        </w:rPr>
        <w:t>5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月下旬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决赛以现场展演的形式进行。参赛者需围绕比赛主题，运用新颖、得当的形式进行现场展演。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六、活动说明及要求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(一）个人或团队参赛均可，可跨学院组队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，鼓励师生共同参与。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(二）初赛视频时长为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分钟，视频格式为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mp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格式，视频分辨率不低于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1920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×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1080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(横屏或者竖屏），视频大小不超过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500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M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。视频质量要求图像稳定、构图合理、镜头运用恰当、录制声音清楚。视频片头应显示“作品名称+作者+所在学院”。初赛分数不计入决赛。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(三）决赛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现场展演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时长不超过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分钟，选手需自备服饰道具。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七、奖项设置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本次大赛邀请专家评委进行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评分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，设立一等奖、二等奖、三等奖、优秀奖、优秀组织奖及单项奖若干名。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八、其他事项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（一）初赛参赛视频作品由学院统一征集上报，每个学院至少要推荐一支队伍参赛。各学院对参赛作品的内容与质量进行严格把关，以学院为单位统一于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日下午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前提交参赛材料（附件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、附件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以及视频作品）至：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lstwxueyibu@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163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.com，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邮件统一命名为“学院+负责人姓名+党史活动材料”。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（二）活动联系人:陈启萍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020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eastAsia="zh-CN"/>
        </w:rPr>
        <w:t>85215523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 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华南师范大学党委学生工作部、学生工作处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华南师范大学关心下一代工作委员会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A"/>
    <w:rsid w:val="00067F40"/>
    <w:rsid w:val="0084199A"/>
    <w:rsid w:val="00AE33B9"/>
    <w:rsid w:val="06403854"/>
    <w:rsid w:val="0C9F37F2"/>
    <w:rsid w:val="0E6847A7"/>
    <w:rsid w:val="1CEC1213"/>
    <w:rsid w:val="1FD66111"/>
    <w:rsid w:val="3CED6C5A"/>
    <w:rsid w:val="3F147A64"/>
    <w:rsid w:val="45650FFA"/>
    <w:rsid w:val="4CE91D6D"/>
    <w:rsid w:val="56253C02"/>
    <w:rsid w:val="5AA6265C"/>
    <w:rsid w:val="729C4495"/>
    <w:rsid w:val="79E71BFE"/>
    <w:rsid w:val="7DD117F6"/>
    <w:rsid w:val="7ED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">
    <w:name w:val="annotation subject"/>
    <w:basedOn w:val="2"/>
    <w:next w:val="2"/>
    <w:link w:val="12"/>
    <w:qFormat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styleId="10">
    <w:name w:val="annotation reference"/>
    <w:basedOn w:val="7"/>
    <w:qFormat/>
    <w:uiPriority w:val="99"/>
    <w:rPr>
      <w:sz w:val="21"/>
      <w:szCs w:val="21"/>
    </w:rPr>
  </w:style>
  <w:style w:type="character" w:customStyle="1" w:styleId="11">
    <w:name w:val="批注文字 字符"/>
    <w:basedOn w:val="7"/>
    <w:link w:val="2"/>
    <w:qFormat/>
    <w:uiPriority w:val="99"/>
  </w:style>
  <w:style w:type="character" w:customStyle="1" w:styleId="12">
    <w:name w:val="批注主题 字符"/>
    <w:basedOn w:val="11"/>
    <w:link w:val="5"/>
    <w:qFormat/>
    <w:uiPriority w:val="99"/>
    <w:rPr>
      <w:b/>
      <w:bCs/>
    </w:rPr>
  </w:style>
  <w:style w:type="character" w:customStyle="1" w:styleId="13">
    <w:name w:val="批注框文本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1021</Characters>
  <Lines>8</Lines>
  <Paragraphs>2</Paragraphs>
  <TotalTime>3</TotalTime>
  <ScaleCrop>false</ScaleCrop>
  <LinksUpToDate>false</LinksUpToDate>
  <CharactersWithSpaces>1197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2021-03-28T11:23:00Z</dcterms:created>
  <dc:creator>张慧儿</dc:creator>
  <cp:lastModifiedBy>範先森</cp:lastModifiedBy>
  <cp:lastPrinted>2021-04-14T04:26:00Z</cp:lastPrinted>
  <dcterms:modified xsi:type="dcterms:W3CDTF">2021-04-15T03:03:04Z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EC3A70AF7E864355BD16C76DCA269A9D</vt:lpwstr>
  </property>
</Properties>
</file>