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tLeast"/>
        <w:rPr>
          <w:rFonts w:hint="eastAsia" w:ascii="仿宋_GB2312" w:hAnsi="微软雅黑" w:eastAsia="仿宋_GB2312" w:cs="微软雅黑"/>
          <w:sz w:val="32"/>
          <w:szCs w:val="32"/>
          <w:shd w:val="clear" w:color="auto" w:fill="FFFFFF"/>
          <w:lang w:val="en-US" w:eastAsia="zh-CN"/>
        </w:rPr>
      </w:pPr>
      <w:r>
        <w:rPr>
          <w:rFonts w:hint="eastAsia" w:ascii="仿宋_GB2312" w:hAnsi="微软雅黑" w:eastAsia="仿宋_GB2312" w:cs="微软雅黑"/>
          <w:sz w:val="32"/>
          <w:szCs w:val="32"/>
          <w:shd w:val="clear" w:color="auto" w:fill="FFFFFF"/>
          <w:lang w:val="en-US" w:eastAsia="zh-CN"/>
        </w:rPr>
        <w:t>附件</w:t>
      </w:r>
      <w:r>
        <w:rPr>
          <w:rFonts w:hint="default" w:ascii="Times New Roman" w:hAnsi="Times New Roman" w:eastAsia="仿宋_GB2312" w:cs="Times New Roman"/>
          <w:sz w:val="32"/>
          <w:szCs w:val="32"/>
          <w:shd w:val="clear" w:color="auto" w:fill="FFFFFF"/>
          <w:lang w:val="en-US" w:eastAsia="zh-CN"/>
        </w:rPr>
        <w:t>1</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jc w:val="center"/>
        <w:textAlignment w:val="auto"/>
        <w:rPr>
          <w:rFonts w:hint="eastAsia" w:ascii="方正公文小标宋" w:hAnsi="方正公文小标宋" w:eastAsia="方正公文小标宋" w:cs="方正公文小标宋"/>
          <w:b/>
          <w:sz w:val="36"/>
          <w:szCs w:val="36"/>
          <w:shd w:val="clear" w:color="auto" w:fill="FFFFFF"/>
          <w:lang w:val="en-US" w:eastAsia="zh-CN"/>
        </w:rPr>
      </w:pPr>
      <w:bookmarkStart w:id="0" w:name="_GoBack"/>
      <w:r>
        <w:rPr>
          <w:rFonts w:hint="eastAsia" w:ascii="方正公文小标宋" w:hAnsi="方正公文小标宋" w:eastAsia="方正公文小标宋" w:cs="方正公文小标宋"/>
          <w:b/>
          <w:sz w:val="36"/>
          <w:szCs w:val="36"/>
          <w:shd w:val="clear" w:color="auto" w:fill="FFFFFF"/>
        </w:rPr>
        <w:t>2021年度</w:t>
      </w:r>
      <w:r>
        <w:rPr>
          <w:rFonts w:hint="eastAsia" w:ascii="方正公文小标宋" w:hAnsi="方正公文小标宋" w:eastAsia="方正公文小标宋" w:cs="方正公文小标宋"/>
          <w:b/>
          <w:sz w:val="36"/>
          <w:szCs w:val="36"/>
          <w:shd w:val="clear" w:color="auto" w:fill="FFFFFF"/>
          <w:lang w:val="en-US" w:eastAsia="zh-CN"/>
        </w:rPr>
        <w:t>华南师范大学学生</w:t>
      </w:r>
      <w:r>
        <w:rPr>
          <w:rFonts w:hint="eastAsia" w:ascii="方正公文小标宋" w:hAnsi="方正公文小标宋" w:eastAsia="方正公文小标宋" w:cs="方正公文小标宋"/>
          <w:b/>
          <w:sz w:val="36"/>
          <w:szCs w:val="36"/>
          <w:shd w:val="clear" w:color="auto" w:fill="FFFFFF"/>
        </w:rPr>
        <w:t>工作研究课题选题指南</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党建引领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Calibri" w:eastAsia="仿宋_GB2312" w:cs="黑体"/>
          <w:sz w:val="32"/>
          <w:szCs w:val="32"/>
          <w:lang w:val="en-US" w:eastAsia="zh-CN"/>
        </w:rPr>
        <w:t>高校学生党史学习教育工作机制研究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Calibri" w:eastAsia="仿宋_GB2312" w:cs="黑体"/>
          <w:sz w:val="32"/>
          <w:szCs w:val="32"/>
          <w:lang w:val="en-US" w:eastAsia="zh-CN"/>
        </w:rPr>
        <w:t>高校学生党支部政治功能和组织力研究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Calibri" w:eastAsia="仿宋_GB2312" w:cs="黑体"/>
          <w:sz w:val="32"/>
          <w:szCs w:val="32"/>
          <w:lang w:val="en-US" w:eastAsia="zh-CN"/>
        </w:rPr>
        <w:t>高校学生党员教育管理服务机制创新研究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Calibri" w:eastAsia="仿宋_GB2312" w:cs="黑体"/>
          <w:sz w:val="32"/>
          <w:szCs w:val="32"/>
          <w:lang w:val="en-US" w:eastAsia="zh-CN"/>
        </w:rPr>
        <w:t>高校学生党员先锋模范作用发挥机制研究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思想教育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eastAsia" w:ascii="仿宋_GB2312" w:hAnsi="Calibri" w:eastAsia="仿宋_GB2312" w:cs="黑体"/>
          <w:sz w:val="32"/>
          <w:szCs w:val="32"/>
          <w:lang w:val="en-US" w:eastAsia="zh-CN"/>
        </w:rPr>
        <w:t>新时代高校思想政治教育工作守正创新研究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仿宋_GB2312" w:hAnsi="Calibri" w:eastAsia="仿宋_GB2312" w:cs="黑体"/>
          <w:sz w:val="32"/>
          <w:szCs w:val="32"/>
          <w:lang w:val="en-US" w:eastAsia="zh-CN"/>
        </w:rPr>
        <w:t>当代大学生系统化学习宣传习近平新时代中国特色社会主义思想研究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仿宋_GB2312" w:hAnsi="Calibri" w:eastAsia="仿宋_GB2312" w:cs="黑体"/>
          <w:sz w:val="32"/>
          <w:szCs w:val="32"/>
          <w:lang w:val="en-US" w:eastAsia="zh-CN"/>
        </w:rPr>
        <w:t>新时代大学生爱国主义教育机制创新研究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仿宋_GB2312" w:hAnsi="Calibri" w:eastAsia="仿宋_GB2312" w:cs="黑体"/>
          <w:sz w:val="32"/>
          <w:szCs w:val="32"/>
          <w:lang w:val="en-US" w:eastAsia="zh-CN"/>
        </w:rPr>
        <w:t>新时代高校大学生群体画像研究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仿宋_GB2312" w:hAnsi="Calibri" w:eastAsia="仿宋_GB2312" w:cs="黑体"/>
          <w:sz w:val="32"/>
          <w:szCs w:val="32"/>
          <w:lang w:val="en-US" w:eastAsia="zh-CN"/>
        </w:rPr>
        <w:t>少数民族学生思想政治教育工作机制创新研究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仿宋_GB2312" w:hAnsi="Calibri" w:eastAsia="仿宋_GB2312" w:cs="黑体"/>
          <w:sz w:val="32"/>
          <w:szCs w:val="32"/>
          <w:lang w:val="en-US" w:eastAsia="zh-CN"/>
        </w:rPr>
        <w:t>大学生思想政治教育精品项目培育建设研究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三、教育评价改革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Calibri" w:eastAsia="仿宋_GB2312" w:cs="黑体"/>
          <w:sz w:val="32"/>
          <w:szCs w:val="32"/>
          <w:lang w:val="en-US" w:eastAsia="zh-CN"/>
        </w:rPr>
        <w:t>高校学生综合评价改革研究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Calibri" w:eastAsia="仿宋_GB2312" w:cs="黑体"/>
          <w:sz w:val="32"/>
          <w:szCs w:val="32"/>
          <w:lang w:val="en-US" w:eastAsia="zh-CN"/>
        </w:rPr>
        <w:t>教育评价改革视域下大学生德育研究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Calibri" w:eastAsia="仿宋_GB2312" w:cs="黑体"/>
          <w:sz w:val="32"/>
          <w:szCs w:val="32"/>
          <w:lang w:val="en-US" w:eastAsia="zh-CN"/>
        </w:rPr>
        <w:t>教育评价改革视域下大学生体育研究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Calibri" w:eastAsia="仿宋_GB2312" w:cs="黑体"/>
          <w:sz w:val="32"/>
          <w:szCs w:val="32"/>
          <w:lang w:val="en-US" w:eastAsia="zh-CN"/>
        </w:rPr>
        <w:t>教育评价改革视域下大学生美育研究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_GB2312" w:hAnsi="Calibri" w:eastAsia="仿宋_GB2312" w:cs="黑体"/>
          <w:sz w:val="32"/>
          <w:szCs w:val="32"/>
          <w:lang w:val="en-US" w:eastAsia="zh-CN"/>
        </w:rPr>
        <w:t>教育评价改革视域下大学生劳育研究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四、网络思政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仿宋_GB2312" w:hAnsi="Calibri" w:eastAsia="仿宋_GB2312" w:cs="黑体"/>
          <w:sz w:val="32"/>
          <w:szCs w:val="32"/>
          <w:lang w:val="en-US" w:eastAsia="zh-CN"/>
        </w:rPr>
        <w:t>大学生网络素养内容、载体及培育机制研究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仿宋_GB2312" w:hAnsi="Calibri" w:eastAsia="仿宋_GB2312" w:cs="黑体"/>
          <w:sz w:val="32"/>
          <w:szCs w:val="32"/>
          <w:lang w:val="en-US" w:eastAsia="zh-CN"/>
        </w:rPr>
        <w:t>大学生网络社群认同及交际机制研究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仿宋_GB2312" w:hAnsi="Calibri" w:eastAsia="仿宋_GB2312" w:cs="黑体"/>
          <w:sz w:val="32"/>
          <w:szCs w:val="32"/>
          <w:lang w:val="en-US" w:eastAsia="zh-CN"/>
        </w:rPr>
        <w:t>高校思政类微信公众号的建设现状与发展策略研究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仿宋_GB2312" w:hAnsi="Calibri" w:eastAsia="仿宋_GB2312" w:cs="黑体"/>
          <w:sz w:val="32"/>
          <w:szCs w:val="32"/>
          <w:lang w:val="en-US" w:eastAsia="zh-CN"/>
        </w:rPr>
        <w:t>新媒体短视频育人机制研究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eastAsia" w:ascii="仿宋_GB2312" w:hAnsi="Calibri" w:eastAsia="仿宋_GB2312" w:cs="黑体"/>
          <w:sz w:val="32"/>
          <w:szCs w:val="32"/>
          <w:lang w:val="en-US" w:eastAsia="zh-CN"/>
        </w:rPr>
        <w:t>基于易班平台的大学生网络思想政治教育研究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五、心理健康教育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Calibri" w:eastAsia="仿宋_GB2312" w:cs="黑体"/>
          <w:sz w:val="32"/>
          <w:szCs w:val="32"/>
          <w:lang w:val="en-US" w:eastAsia="zh-CN"/>
        </w:rPr>
        <w:t>后疫情时代大学生心理健康教育体制机制研究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仿宋_GB2312" w:hAnsi="Calibri" w:eastAsia="仿宋_GB2312" w:cs="黑体"/>
          <w:sz w:val="32"/>
          <w:szCs w:val="32"/>
          <w:lang w:val="en-US" w:eastAsia="zh-CN"/>
        </w:rPr>
        <w:t>大学生心理问题早期发现和科学干预机制研究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仿宋_GB2312" w:hAnsi="Calibri" w:eastAsia="仿宋_GB2312" w:cs="黑体"/>
          <w:sz w:val="32"/>
          <w:szCs w:val="32"/>
          <w:lang w:val="en-US" w:eastAsia="zh-CN"/>
        </w:rPr>
        <w:t>大学生积极心理品质培育的路径与机制研究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仿宋_GB2312" w:hAnsi="Calibri" w:eastAsia="仿宋_GB2312" w:cs="黑体"/>
          <w:sz w:val="32"/>
          <w:szCs w:val="32"/>
          <w:lang w:val="en-US" w:eastAsia="zh-CN"/>
        </w:rPr>
        <w:t>大学生心理</w:t>
      </w:r>
      <w:r>
        <w:rPr>
          <w:rFonts w:hint="eastAsia" w:ascii="仿宋_GB2312" w:hAnsi="Calibri" w:eastAsia="仿宋_GB2312" w:cs="黑体"/>
          <w:sz w:val="32"/>
          <w:szCs w:val="32"/>
          <w:lang w:val="en-US" w:eastAsia="zh-CN"/>
        </w:rPr>
        <w:t>健康教育案例</w:t>
      </w:r>
      <w:r>
        <w:rPr>
          <w:rFonts w:hint="default" w:ascii="仿宋_GB2312" w:hAnsi="Calibri" w:eastAsia="仿宋_GB2312" w:cs="黑体"/>
          <w:sz w:val="32"/>
          <w:szCs w:val="32"/>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仿宋_GB2312" w:hAnsi="Calibri" w:eastAsia="仿宋_GB2312" w:cs="黑体"/>
          <w:sz w:val="32"/>
          <w:szCs w:val="32"/>
          <w:lang w:val="en-US" w:eastAsia="zh-CN"/>
        </w:rPr>
        <w:t>新时代大学生群体积极社会心态培育研究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仿宋_GB2312" w:hAnsi="Calibri" w:eastAsia="仿宋_GB2312" w:cs="黑体"/>
          <w:sz w:val="32"/>
          <w:szCs w:val="32"/>
          <w:lang w:val="en-US" w:eastAsia="zh-CN"/>
        </w:rPr>
        <w:t>新时代高校辅导员核心素养研究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仿宋_GB2312" w:hAnsi="Calibri" w:eastAsia="仿宋_GB2312" w:cs="黑体"/>
          <w:sz w:val="32"/>
          <w:szCs w:val="32"/>
          <w:lang w:val="en-US" w:eastAsia="zh-CN"/>
        </w:rPr>
        <w:t>“三全育人”背景下高校辅导员的育人定位与实现路径研究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Calibri" w:eastAsia="仿宋_GB2312" w:cs="黑体"/>
          <w:sz w:val="32"/>
          <w:szCs w:val="32"/>
          <w:lang w:val="en-US" w:eastAsia="zh-CN"/>
        </w:rPr>
        <w:t>高校辅导员队伍建设激励机制研究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Calibri" w:eastAsia="仿宋_GB2312" w:cs="黑体"/>
          <w:sz w:val="32"/>
          <w:szCs w:val="32"/>
          <w:lang w:val="en-US" w:eastAsia="zh-CN"/>
        </w:rPr>
        <w:t>新时代高校辅导员工作室育人模式研究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仿宋_GB2312" w:hAnsi="Calibri" w:eastAsia="仿宋_GB2312" w:cs="黑体"/>
          <w:sz w:val="32"/>
          <w:szCs w:val="32"/>
          <w:lang w:val="en-US" w:eastAsia="zh-CN"/>
        </w:rPr>
        <w:t>高校辅导员与思政课教师</w:t>
      </w:r>
      <w:r>
        <w:rPr>
          <w:rFonts w:hint="eastAsia" w:ascii="仿宋_GB2312" w:hAnsi="Calibri" w:eastAsia="仿宋_GB2312" w:cs="黑体"/>
          <w:sz w:val="32"/>
          <w:szCs w:val="32"/>
          <w:lang w:val="en-US" w:eastAsia="zh-CN"/>
        </w:rPr>
        <w:t>/专业课教师</w:t>
      </w:r>
      <w:r>
        <w:rPr>
          <w:rFonts w:hint="default" w:ascii="仿宋_GB2312" w:hAnsi="Calibri" w:eastAsia="仿宋_GB2312" w:cs="黑体"/>
          <w:sz w:val="32"/>
          <w:szCs w:val="32"/>
          <w:lang w:val="en-US" w:eastAsia="zh-CN"/>
        </w:rPr>
        <w:t>协同育人研究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七、其他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Calibri" w:eastAsia="仿宋_GB2312" w:cs="黑体"/>
          <w:sz w:val="32"/>
          <w:szCs w:val="32"/>
          <w:lang w:val="en-US" w:eastAsia="zh-CN"/>
        </w:rPr>
        <w:t>基于“立德树人”根本任务的资助育人质量提升体系构建与探索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Calibri" w:eastAsia="仿宋_GB2312" w:cs="黑体"/>
          <w:sz w:val="32"/>
          <w:szCs w:val="32"/>
          <w:lang w:val="en-US" w:eastAsia="zh-CN"/>
        </w:rPr>
        <w:t>教育评价改革背景下的高校学生奖助体系研究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Calibri" w:eastAsia="仿宋_GB2312" w:cs="黑体"/>
          <w:sz w:val="32"/>
          <w:szCs w:val="32"/>
          <w:lang w:val="en-US" w:eastAsia="zh-CN"/>
        </w:rPr>
        <w:t>新就业形态下高校大学生就业形势和对策分析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Calibri" w:eastAsia="仿宋_GB2312" w:cs="黑体"/>
          <w:sz w:val="32"/>
          <w:szCs w:val="32"/>
          <w:lang w:val="en-US" w:eastAsia="zh-CN"/>
        </w:rPr>
        <w:t>后疫情时代下高校大学生就业现状存在问题及对策研究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仿宋_GB2312" w:hAnsi="Calibri" w:eastAsia="仿宋_GB2312" w:cs="黑体"/>
          <w:sz w:val="32"/>
          <w:szCs w:val="32"/>
          <w:lang w:val="en-US" w:eastAsia="zh-CN"/>
        </w:rPr>
        <w:t>华南师范大学国防教育史研究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Calibri" w:eastAsia="仿宋_GB2312" w:cs="黑体"/>
          <w:sz w:val="32"/>
          <w:szCs w:val="32"/>
          <w:lang w:val="en-US" w:eastAsia="zh-CN"/>
        </w:rPr>
        <w:t>高校军事理论教师职业素养提升研究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Calibri" w:eastAsia="仿宋_GB2312" w:cs="黑体"/>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仿宋_GB2312" w:hAnsi="Calibri" w:eastAsia="仿宋_GB2312" w:cs="黑体"/>
          <w:sz w:val="32"/>
          <w:szCs w:val="32"/>
          <w:lang w:val="en-US" w:eastAsia="zh-CN"/>
        </w:rPr>
        <w:t>国防教育与大学生民族精神培育研究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D511F"/>
    <w:multiLevelType w:val="singleLevel"/>
    <w:tmpl w:val="50AD51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C1F9E"/>
    <w:rsid w:val="532C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2021-07-19T07:25:00Z</dcterms:created>
  <dc:creator>陈霞</dc:creator>
  <cp:lastModifiedBy>陈霞</cp:lastModifiedBy>
  <dcterms:modified xsi:type="dcterms:W3CDTF">2021-07-19T07:27:22Z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3A3F6298EEB542E6A89500C5BDE539AA</vt:lpwstr>
  </property>
</Properties>
</file>