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pPr>
      <w:bookmarkStart w:id="0" w:name="_Hlk25657108"/>
      <w:bookmarkStart w:id="1" w:name="_Hlk534361099"/>
      <w:bookmarkStart w:id="2" w:name="_Hlk534361084"/>
      <w:r>
        <mc:AlternateContent>
          <mc:Choice Requires="wps">
            <w:drawing>
              <wp:anchor distT="0" distB="0" distL="114300" distR="114300" simplePos="0" relativeHeight="251659264" behindDoc="0" locked="0" layoutInCell="1" allowOverlap="1">
                <wp:simplePos x="0" y="0"/>
                <wp:positionH relativeFrom="column">
                  <wp:posOffset>-276225</wp:posOffset>
                </wp:positionH>
                <wp:positionV relativeFrom="paragraph">
                  <wp:posOffset>-19685</wp:posOffset>
                </wp:positionV>
                <wp:extent cx="6105525" cy="0"/>
                <wp:effectExtent l="0" t="19050" r="28575" b="19050"/>
                <wp:wrapNone/>
                <wp:docPr id="9" name="直接连接符 9"/>
                <wp:cNvGraphicFramePr/>
                <a:graphic xmlns:a="http://schemas.openxmlformats.org/drawingml/2006/main">
                  <a:graphicData uri="http://schemas.microsoft.com/office/word/2010/wordprocessingShape">
                    <wps:wsp>
                      <wps:cNvCnPr/>
                      <wps:spPr>
                        <a:xfrm>
                          <a:off x="0" y="0"/>
                          <a:ext cx="6105525" cy="0"/>
                        </a:xfrm>
                        <a:prstGeom prst="line">
                          <a:avLst/>
                        </a:prstGeom>
                        <a:ln w="28575">
                          <a:solidFill>
                            <a:srgbClr val="FF000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id="_x0000_s1026" o:spid="_x0000_s1026" o:spt="20" style="position:absolute;left:0pt;margin-left:-21.75pt;margin-top:-1.55pt;height:0pt;width:480.75pt;z-index:251659264;mso-width-relative:page;mso-height-relative:page;" filled="f" stroked="t" coordsize="21600,21600" o:gfxdata="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xHnGC&#10;2gAAAAkBAAAPAAAAAAAAAAEAIAAAACIAAABkcnMvZG93bnJldi54bWxQSwECFAAUAAAACACHTuJA&#10;mXj9r+YBAACyAwAADgAAAAAAAAABACAAAAApAQAAZHJzL2Uyb0RvYy54bWxQSwUGAAAAAAYABgBZ&#10;AQAAgQUAAAAA&#10;">
                <v:fill on="f" focussize="0,0"/>
                <v:stroke weight="2.25pt" color="#FF0000 [3206]" miterlimit="8" joinstyle="miter"/>
                <v:imagedata o:title=""/>
                <o:lock v:ext="edit" aspectratio="f"/>
              </v:line>
            </w:pict>
          </mc:Fallback>
        </mc:AlternateContent>
      </w:r>
      <w:r>
        <mc:AlternateContent>
          <mc:Choice Requires="wps">
            <w:drawing>
              <wp:anchor distT="45720" distB="45720" distL="114300" distR="114300" simplePos="0" relativeHeight="251660288" behindDoc="0" locked="0" layoutInCell="1" allowOverlap="1">
                <wp:simplePos x="0" y="0"/>
                <wp:positionH relativeFrom="margin">
                  <wp:posOffset>-386080</wp:posOffset>
                </wp:positionH>
                <wp:positionV relativeFrom="margin">
                  <wp:posOffset>-932815</wp:posOffset>
                </wp:positionV>
                <wp:extent cx="6315075" cy="899795"/>
                <wp:effectExtent l="0" t="0" r="0" b="0"/>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315075" cy="899795"/>
                        </a:xfrm>
                        <a:prstGeom prst="rect">
                          <a:avLst/>
                        </a:prstGeom>
                        <a:noFill/>
                        <a:ln w="9525">
                          <a:noFill/>
                          <a:miter lim="800000"/>
                        </a:ln>
                      </wps:spPr>
                      <wps:txbx>
                        <w:txbxContent>
                          <w:p>
                            <w:pPr>
                              <w:snapToGrid w:val="0"/>
                              <w:jc w:val="distribute"/>
                              <w:rPr>
                                <w:rFonts w:ascii="方正大黑_GBK" w:hAnsi="黑体" w:eastAsia="方正大黑_GBK"/>
                                <w:color w:val="FF0000"/>
                                <w:sz w:val="40"/>
                                <w:szCs w:val="40"/>
                              </w:rPr>
                            </w:pPr>
                            <w:r>
                              <w:rPr>
                                <w:rFonts w:hint="eastAsia" w:ascii="方正大黑_GBK" w:hAnsi="黑体" w:eastAsia="方正大黑_GBK"/>
                                <w:color w:val="FF0000"/>
                                <w:sz w:val="40"/>
                                <w:szCs w:val="40"/>
                              </w:rPr>
                              <w:t>高校思想政治工作队伍培训研修中心（华南师范大学）</w:t>
                            </w:r>
                          </w:p>
                          <w:p>
                            <w:pPr>
                              <w:snapToGrid w:val="0"/>
                              <w:jc w:val="distribute"/>
                              <w:rPr>
                                <w:rFonts w:ascii="方正大黑_GBK" w:hAnsi="黑体" w:eastAsia="方正大黑_GBK"/>
                                <w:color w:val="FF0000"/>
                                <w:sz w:val="40"/>
                                <w:szCs w:val="40"/>
                              </w:rPr>
                            </w:pPr>
                            <w:r>
                              <w:rPr>
                                <w:rFonts w:hint="eastAsia" w:ascii="方正大黑_GBK" w:hAnsi="黑体" w:eastAsia="方正大黑_GBK"/>
                                <w:color w:val="FF0000"/>
                                <w:sz w:val="40"/>
                                <w:szCs w:val="40"/>
                              </w:rPr>
                              <w:t>广东省</w:t>
                            </w:r>
                            <w:r>
                              <w:rPr>
                                <w:rFonts w:ascii="方正大黑_GBK" w:hAnsi="黑体" w:eastAsia="方正大黑_GBK"/>
                                <w:color w:val="FF0000"/>
                                <w:sz w:val="40"/>
                                <w:szCs w:val="40"/>
                              </w:rPr>
                              <w:t>高等学校思想政治教育研究会</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4pt;margin-top:-73.45pt;height:70.85pt;width:497.25pt;mso-position-horizontal-relative:margin;mso-position-vertical-relative:margin;mso-wrap-distance-bottom:3.6pt;mso-wrap-distance-left:9pt;mso-wrap-distance-right:9pt;mso-wrap-distance-top:3.6pt;z-index:251660288;mso-width-relative:page;mso-height-relative:page;" filled="f" stroked="f" coordsize="21600,21600" o:gfxdata="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OMKSb3ZAAAACwEAAA8AAAAAAAAAAQAgAAAAIgAAAGRycy9kb3ducmV2LnhtbFBLAQIUABQAAAAI&#10;AIdO4kCrqHquJQIAACsEAAAOAAAAAAAAAAEAIAAAACgBAABkcnMvZTJvRG9jLnhtbFBLBQYAAAAA&#10;BgAGAFkBAAC/BQAAAAA=&#10;">
                <v:fill on="f" focussize="0,0"/>
                <v:stroke on="f" miterlimit="8" joinstyle="miter"/>
                <v:imagedata o:title=""/>
                <o:lock v:ext="edit" aspectratio="f"/>
                <v:textbox>
                  <w:txbxContent>
                    <w:p>
                      <w:pPr>
                        <w:snapToGrid w:val="0"/>
                        <w:jc w:val="distribute"/>
                        <w:rPr>
                          <w:rFonts w:ascii="方正大黑_GBK" w:hAnsi="黑体" w:eastAsia="方正大黑_GBK"/>
                          <w:color w:val="FF0000"/>
                          <w:sz w:val="40"/>
                          <w:szCs w:val="40"/>
                        </w:rPr>
                      </w:pPr>
                      <w:r>
                        <w:rPr>
                          <w:rFonts w:hint="eastAsia" w:ascii="方正大黑_GBK" w:hAnsi="黑体" w:eastAsia="方正大黑_GBK"/>
                          <w:color w:val="FF0000"/>
                          <w:sz w:val="40"/>
                          <w:szCs w:val="40"/>
                        </w:rPr>
                        <w:t>高校思想政治工作队伍培训研修中心（华南师范大学）</w:t>
                      </w:r>
                    </w:p>
                    <w:p>
                      <w:pPr>
                        <w:snapToGrid w:val="0"/>
                        <w:jc w:val="distribute"/>
                        <w:rPr>
                          <w:rFonts w:ascii="方正大黑_GBK" w:hAnsi="黑体" w:eastAsia="方正大黑_GBK"/>
                          <w:color w:val="FF0000"/>
                          <w:sz w:val="40"/>
                          <w:szCs w:val="40"/>
                        </w:rPr>
                      </w:pPr>
                      <w:r>
                        <w:rPr>
                          <w:rFonts w:hint="eastAsia" w:ascii="方正大黑_GBK" w:hAnsi="黑体" w:eastAsia="方正大黑_GBK"/>
                          <w:color w:val="FF0000"/>
                          <w:sz w:val="40"/>
                          <w:szCs w:val="40"/>
                        </w:rPr>
                        <w:t>广东省</w:t>
                      </w:r>
                      <w:r>
                        <w:rPr>
                          <w:rFonts w:ascii="方正大黑_GBK" w:hAnsi="黑体" w:eastAsia="方正大黑_GBK"/>
                          <w:color w:val="FF0000"/>
                          <w:sz w:val="40"/>
                          <w:szCs w:val="40"/>
                        </w:rPr>
                        <w:t>高等学校思想政治教育研究会</w:t>
                      </w:r>
                    </w:p>
                  </w:txbxContent>
                </v:textbox>
                <w10:wrap type="square"/>
              </v:shape>
            </w:pict>
          </mc:Fallback>
        </mc:AlternateContent>
      </w:r>
    </w:p>
    <w:bookmarkEnd w:id="0"/>
    <w:p>
      <w:pPr>
        <w:jc w:val="right"/>
      </w:pPr>
    </w:p>
    <w:p>
      <w:pPr>
        <w:jc w:val="center"/>
        <w:rPr>
          <w:rFonts w:ascii="方正小标宋简体" w:eastAsia="方正小标宋简体"/>
          <w:sz w:val="44"/>
          <w:szCs w:val="44"/>
        </w:rPr>
      </w:pPr>
      <w:r>
        <w:rPr>
          <w:rFonts w:hint="eastAsia" w:ascii="方正小标宋简体" w:eastAsia="方正小标宋简体"/>
          <w:sz w:val="44"/>
          <w:szCs w:val="44"/>
        </w:rPr>
        <w:t>关于开展广东高校学生工作案例</w:t>
      </w:r>
    </w:p>
    <w:p>
      <w:pPr>
        <w:jc w:val="center"/>
        <w:rPr>
          <w:rFonts w:ascii="方正小标宋简体" w:eastAsia="方正小标宋简体"/>
          <w:sz w:val="44"/>
          <w:szCs w:val="44"/>
        </w:rPr>
      </w:pPr>
      <w:r>
        <w:rPr>
          <w:rFonts w:hint="eastAsia" w:ascii="方正小标宋简体" w:eastAsia="方正小标宋简体"/>
          <w:sz w:val="44"/>
          <w:szCs w:val="44"/>
        </w:rPr>
        <w:t>评优活动的通知</w:t>
      </w:r>
    </w:p>
    <w:p>
      <w:pPr>
        <w:adjustRightInd w:val="0"/>
        <w:snapToGrid w:val="0"/>
        <w:spacing w:line="360" w:lineRule="auto"/>
        <w:jc w:val="left"/>
        <w:rPr>
          <w:sz w:val="28"/>
          <w:szCs w:val="28"/>
        </w:rPr>
      </w:pPr>
      <w:r>
        <w:rPr>
          <w:rFonts w:hint="eastAsia"/>
          <w:sz w:val="28"/>
          <w:szCs w:val="28"/>
        </w:rPr>
        <w:t xml:space="preserve"> </w:t>
      </w:r>
      <w:r>
        <w:rPr>
          <w:sz w:val="28"/>
          <w:szCs w:val="28"/>
        </w:rPr>
        <w:t xml:space="preserve">   </w:t>
      </w:r>
    </w:p>
    <w:p>
      <w:pPr>
        <w:adjustRightInd w:val="0"/>
        <w:snapToGrid w:val="0"/>
        <w:spacing w:line="360" w:lineRule="auto"/>
        <w:rPr>
          <w:rFonts w:ascii="仿宋" w:hAnsi="仿宋" w:eastAsia="仿宋"/>
          <w:sz w:val="32"/>
          <w:szCs w:val="32"/>
        </w:rPr>
      </w:pPr>
      <w:r>
        <w:rPr>
          <w:rFonts w:hint="eastAsia" w:ascii="仿宋" w:hAnsi="仿宋" w:eastAsia="仿宋"/>
          <w:sz w:val="32"/>
          <w:szCs w:val="32"/>
        </w:rPr>
        <w:t>各高等学校：</w:t>
      </w:r>
    </w:p>
    <w:p>
      <w:pPr>
        <w:adjustRightInd w:val="0"/>
        <w:snapToGrid w:val="0"/>
        <w:spacing w:line="360" w:lineRule="auto"/>
        <w:ind w:firstLine="640"/>
        <w:rPr>
          <w:rFonts w:ascii="仿宋" w:hAnsi="仿宋" w:eastAsia="仿宋"/>
          <w:sz w:val="32"/>
          <w:szCs w:val="32"/>
        </w:rPr>
      </w:pPr>
      <w:r>
        <w:rPr>
          <w:rFonts w:hint="eastAsia" w:ascii="仿宋" w:hAnsi="仿宋" w:eastAsia="仿宋"/>
          <w:sz w:val="32"/>
          <w:szCs w:val="32"/>
        </w:rPr>
        <w:t>为充分展示辅导员工作的优秀成果，推广先进经验，提升辅导员工作的科学化水平，表彰先进，推动高校思想政治工作队伍建设，现决定在我省高校开展广东高校学生工作案例评优活动。</w:t>
      </w:r>
    </w:p>
    <w:p>
      <w:pPr>
        <w:widowControl/>
        <w:numPr>
          <w:ilvl w:val="0"/>
          <w:numId w:val="1"/>
        </w:numPr>
        <w:shd w:val="clear" w:color="auto" w:fill="FFFFFF"/>
        <w:snapToGrid w:val="0"/>
        <w:spacing w:line="360" w:lineRule="auto"/>
        <w:ind w:firstLine="640" w:firstLineChars="200"/>
        <w:jc w:val="left"/>
        <w:rPr>
          <w:rFonts w:ascii="黑体" w:hAnsi="宋体" w:eastAsia="黑体" w:cs="黑体"/>
          <w:bCs/>
          <w:kern w:val="0"/>
          <w:sz w:val="32"/>
          <w:szCs w:val="32"/>
          <w:shd w:val="clear" w:color="auto" w:fill="FFFFFF"/>
          <w:lang w:bidi="ar"/>
        </w:rPr>
      </w:pPr>
      <w:r>
        <w:rPr>
          <w:rFonts w:hint="eastAsia" w:ascii="黑体" w:hAnsi="宋体" w:eastAsia="黑体" w:cs="黑体"/>
          <w:bCs/>
          <w:kern w:val="0"/>
          <w:sz w:val="32"/>
          <w:szCs w:val="32"/>
          <w:shd w:val="clear" w:color="auto" w:fill="FFFFFF"/>
          <w:lang w:bidi="ar"/>
        </w:rPr>
        <w:t>征集时间</w:t>
      </w:r>
    </w:p>
    <w:p>
      <w:pPr>
        <w:widowControl/>
        <w:shd w:val="clear" w:color="auto" w:fill="FFFFFF"/>
        <w:snapToGrid w:val="0"/>
        <w:spacing w:line="360" w:lineRule="auto"/>
        <w:ind w:firstLine="640" w:firstLineChars="200"/>
        <w:jc w:val="left"/>
        <w:rPr>
          <w:rFonts w:ascii="Times New Roman" w:hAnsi="Times New Roman" w:eastAsia="仿宋"/>
          <w:bCs/>
          <w:kern w:val="0"/>
          <w:sz w:val="32"/>
          <w:szCs w:val="32"/>
          <w:shd w:val="clear" w:color="auto" w:fill="FFFFFF"/>
          <w:lang w:bidi="ar"/>
        </w:rPr>
      </w:pPr>
      <w:r>
        <w:rPr>
          <w:rFonts w:hint="eastAsia" w:ascii="Times New Roman" w:hAnsi="Times New Roman" w:eastAsia="仿宋"/>
          <w:bCs/>
          <w:kern w:val="0"/>
          <w:sz w:val="32"/>
          <w:szCs w:val="32"/>
          <w:shd w:val="clear" w:color="auto" w:fill="FFFFFF"/>
          <w:lang w:bidi="ar"/>
        </w:rPr>
        <w:t>即日起至2</w:t>
      </w:r>
      <w:r>
        <w:rPr>
          <w:rFonts w:ascii="Times New Roman" w:hAnsi="Times New Roman" w:eastAsia="仿宋"/>
          <w:bCs/>
          <w:kern w:val="0"/>
          <w:sz w:val="32"/>
          <w:szCs w:val="32"/>
          <w:shd w:val="clear" w:color="auto" w:fill="FFFFFF"/>
          <w:lang w:bidi="ar"/>
        </w:rPr>
        <w:t>02</w:t>
      </w:r>
      <w:r>
        <w:rPr>
          <w:rFonts w:hint="eastAsia" w:ascii="Times New Roman" w:hAnsi="Times New Roman" w:eastAsia="仿宋"/>
          <w:bCs/>
          <w:kern w:val="0"/>
          <w:sz w:val="32"/>
          <w:szCs w:val="32"/>
          <w:shd w:val="clear" w:color="auto" w:fill="FFFFFF"/>
          <w:lang w:bidi="ar"/>
        </w:rPr>
        <w:t>1年</w:t>
      </w:r>
      <w:r>
        <w:rPr>
          <w:rFonts w:ascii="Times New Roman" w:hAnsi="Times New Roman" w:eastAsia="仿宋"/>
          <w:bCs/>
          <w:kern w:val="0"/>
          <w:sz w:val="32"/>
          <w:szCs w:val="32"/>
          <w:shd w:val="clear" w:color="auto" w:fill="FFFFFF"/>
          <w:lang w:bidi="ar"/>
        </w:rPr>
        <w:t>1</w:t>
      </w:r>
      <w:r>
        <w:rPr>
          <w:rFonts w:hint="eastAsia" w:ascii="Times New Roman" w:hAnsi="Times New Roman" w:eastAsia="仿宋"/>
          <w:bCs/>
          <w:kern w:val="0"/>
          <w:sz w:val="32"/>
          <w:szCs w:val="32"/>
          <w:shd w:val="clear" w:color="auto" w:fill="FFFFFF"/>
          <w:lang w:bidi="ar"/>
        </w:rPr>
        <w:t>2</w:t>
      </w:r>
      <w:r>
        <w:rPr>
          <w:rFonts w:ascii="Times New Roman" w:hAnsi="Times New Roman" w:eastAsia="仿宋"/>
          <w:bCs/>
          <w:kern w:val="0"/>
          <w:sz w:val="32"/>
          <w:szCs w:val="32"/>
          <w:shd w:val="clear" w:color="auto" w:fill="FFFFFF"/>
          <w:lang w:bidi="ar"/>
        </w:rPr>
        <w:t>月</w:t>
      </w:r>
      <w:r>
        <w:rPr>
          <w:rFonts w:hint="eastAsia" w:ascii="Times New Roman" w:hAnsi="Times New Roman" w:eastAsia="仿宋"/>
          <w:bCs/>
          <w:kern w:val="0"/>
          <w:sz w:val="32"/>
          <w:szCs w:val="32"/>
          <w:shd w:val="clear" w:color="auto" w:fill="FFFFFF"/>
          <w:lang w:bidi="ar"/>
        </w:rPr>
        <w:t>5日</w:t>
      </w:r>
    </w:p>
    <w:p>
      <w:pPr>
        <w:adjustRightInd w:val="0"/>
        <w:snapToGrid w:val="0"/>
        <w:spacing w:line="360" w:lineRule="auto"/>
        <w:ind w:firstLine="560"/>
        <w:jc w:val="left"/>
        <w:rPr>
          <w:rFonts w:ascii="黑体" w:hAnsi="黑体" w:eastAsia="黑体"/>
          <w:sz w:val="32"/>
          <w:szCs w:val="32"/>
        </w:rPr>
      </w:pPr>
      <w:r>
        <w:rPr>
          <w:rFonts w:hint="eastAsia" w:ascii="黑体" w:hAnsi="黑体" w:eastAsia="黑体"/>
          <w:sz w:val="32"/>
          <w:szCs w:val="32"/>
        </w:rPr>
        <w:t>二、案例选题</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（一）四史教育活动</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（二）课程思政</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（三）校园文化建设及文化育人</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（四）专业学习辅导即课外科研活动指导</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（五）学生日常事务管理</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（六）心理健康教育与咨询</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（七）网络思想政治教育</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（八）校园危机事件应对</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（九）职业规划与就业创业指导</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（十）少数民族学生教育管理</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（十一）辅导员工作室建设</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rPr>
        <w:t>（十二）其他</w:t>
      </w:r>
    </w:p>
    <w:p>
      <w:pPr>
        <w:adjustRightInd w:val="0"/>
        <w:snapToGrid w:val="0"/>
        <w:spacing w:line="360" w:lineRule="auto"/>
        <w:ind w:firstLine="640"/>
        <w:rPr>
          <w:rFonts w:ascii="仿宋" w:hAnsi="仿宋" w:eastAsia="仿宋"/>
          <w:sz w:val="32"/>
          <w:szCs w:val="32"/>
        </w:rPr>
      </w:pPr>
      <w:r>
        <w:rPr>
          <w:rFonts w:hint="eastAsia" w:ascii="黑体" w:hAnsi="宋体" w:eastAsia="黑体" w:cs="黑体"/>
          <w:bCs/>
          <w:kern w:val="0"/>
          <w:sz w:val="32"/>
          <w:szCs w:val="32"/>
          <w:shd w:val="clear" w:color="auto" w:fill="FFFFFF"/>
          <w:lang w:bidi="ar"/>
        </w:rPr>
        <w:t>请结合实际工作撰写案例，案例作者范围以下列人员为主：</w:t>
      </w:r>
      <w:r>
        <w:rPr>
          <w:rFonts w:hint="eastAsia" w:ascii="仿宋" w:hAnsi="仿宋" w:eastAsia="仿宋"/>
          <w:sz w:val="32"/>
          <w:szCs w:val="32"/>
        </w:rPr>
        <w:t>专职和兼职辅导员；从事学生工作的党政干部和共青团干部；思政课教师；高校其他部门从事思想政治工作的人员等。</w:t>
      </w:r>
    </w:p>
    <w:bookmarkEnd w:id="1"/>
    <w:p>
      <w:pPr>
        <w:adjustRightInd w:val="0"/>
        <w:snapToGrid w:val="0"/>
        <w:spacing w:line="360" w:lineRule="auto"/>
        <w:ind w:firstLine="560"/>
        <w:jc w:val="left"/>
        <w:rPr>
          <w:rFonts w:ascii="黑体" w:hAnsi="黑体" w:eastAsia="黑体"/>
          <w:sz w:val="32"/>
          <w:szCs w:val="32"/>
        </w:rPr>
      </w:pPr>
      <w:bookmarkStart w:id="3" w:name="_Hlk534361118"/>
      <w:r>
        <w:rPr>
          <w:rFonts w:hint="eastAsia" w:ascii="黑体" w:hAnsi="黑体" w:eastAsia="黑体"/>
          <w:sz w:val="32"/>
          <w:szCs w:val="32"/>
        </w:rPr>
        <w:t>三、案例写作要求</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lang w:val="en-US" w:eastAsia="zh-CN"/>
        </w:rPr>
        <w:t>1.</w:t>
      </w:r>
      <w:r>
        <w:rPr>
          <w:rFonts w:hint="eastAsia" w:ascii="仿宋" w:hAnsi="仿宋" w:eastAsia="仿宋"/>
          <w:sz w:val="32"/>
          <w:szCs w:val="32"/>
        </w:rPr>
        <w:t>案例要体现典型性、真实性和推广性；要注意挖掘和总结具有典型性的工作案例，体现创新性和特色性，具有借鉴意义和推广价值，每一篇案例字数不少于3000字。</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lang w:val="en-US" w:eastAsia="zh-CN"/>
        </w:rPr>
        <w:t>2.</w:t>
      </w:r>
      <w:r>
        <w:rPr>
          <w:rFonts w:hint="eastAsia" w:ascii="仿宋" w:hAnsi="仿宋" w:eastAsia="仿宋"/>
          <w:sz w:val="32"/>
          <w:szCs w:val="32"/>
        </w:rPr>
        <w:t>案例要真实可信，所选案例必须是本人在日常工作中亲身经历，有切身的感受和体会，不得杜撰和抄袭。</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lang w:val="en-US" w:eastAsia="zh-CN"/>
        </w:rPr>
        <w:t>3.</w:t>
      </w:r>
      <w:r>
        <w:rPr>
          <w:rFonts w:hint="eastAsia" w:ascii="仿宋" w:hAnsi="仿宋" w:eastAsia="仿宋"/>
          <w:sz w:val="32"/>
          <w:szCs w:val="32"/>
        </w:rPr>
        <w:t>注重保护个人隐私。案例中不出现真实姓名，部门和人员姓名，以大写字母A、B、C…代替。</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lang w:val="en-US" w:eastAsia="zh-CN"/>
        </w:rPr>
        <w:t>4.</w:t>
      </w:r>
      <w:r>
        <w:rPr>
          <w:rFonts w:hint="eastAsia" w:ascii="仿宋" w:hAnsi="仿宋" w:eastAsia="仿宋"/>
          <w:sz w:val="32"/>
          <w:szCs w:val="32"/>
        </w:rPr>
        <w:t>历年已获奖的案例，请勿重复申报。</w:t>
      </w:r>
    </w:p>
    <w:p>
      <w:pPr>
        <w:adjustRightInd w:val="0"/>
        <w:snapToGrid w:val="0"/>
        <w:spacing w:line="360" w:lineRule="auto"/>
        <w:ind w:firstLine="640" w:firstLineChars="200"/>
        <w:rPr>
          <w:rFonts w:ascii="仿宋" w:hAnsi="仿宋" w:eastAsia="仿宋"/>
          <w:sz w:val="32"/>
          <w:szCs w:val="32"/>
        </w:rPr>
      </w:pPr>
      <w:r>
        <w:rPr>
          <w:rFonts w:hint="eastAsia" w:ascii="仿宋" w:hAnsi="仿宋" w:eastAsia="仿宋"/>
          <w:sz w:val="32"/>
          <w:szCs w:val="32"/>
          <w:lang w:val="en-US" w:eastAsia="zh-CN"/>
        </w:rPr>
        <w:t>5.</w:t>
      </w:r>
      <w:r>
        <w:rPr>
          <w:rFonts w:hint="eastAsia" w:ascii="仿宋" w:hAnsi="仿宋" w:eastAsia="仿宋"/>
          <w:sz w:val="32"/>
          <w:szCs w:val="32"/>
        </w:rPr>
        <w:t>每人以第一作者身份限报1篇；</w:t>
      </w:r>
      <w:r>
        <w:rPr>
          <w:rFonts w:ascii="仿宋" w:hAnsi="仿宋" w:eastAsia="仿宋"/>
          <w:sz w:val="32"/>
          <w:szCs w:val="32"/>
        </w:rPr>
        <w:t xml:space="preserve"> </w:t>
      </w:r>
    </w:p>
    <w:p>
      <w:pPr>
        <w:adjustRightInd w:val="0"/>
        <w:snapToGrid w:val="0"/>
        <w:spacing w:line="360" w:lineRule="auto"/>
        <w:ind w:firstLine="640" w:firstLineChars="200"/>
        <w:jc w:val="left"/>
        <w:rPr>
          <w:rFonts w:ascii="仿宋" w:hAnsi="仿宋" w:eastAsia="仿宋"/>
          <w:sz w:val="32"/>
          <w:szCs w:val="32"/>
        </w:rPr>
      </w:pPr>
      <w:r>
        <w:rPr>
          <w:rFonts w:hint="eastAsia" w:ascii="仿宋" w:hAnsi="仿宋" w:eastAsia="仿宋"/>
          <w:sz w:val="32"/>
          <w:szCs w:val="32"/>
          <w:lang w:val="en-US" w:eastAsia="zh-CN"/>
        </w:rPr>
        <w:t>6.</w:t>
      </w:r>
      <w:r>
        <w:rPr>
          <w:rFonts w:hint="eastAsia" w:ascii="仿宋" w:hAnsi="仿宋" w:eastAsia="仿宋"/>
          <w:sz w:val="32"/>
          <w:szCs w:val="32"/>
        </w:rPr>
        <w:t>文本写作格式详见学生工作案例格式要求（附件3）。</w:t>
      </w:r>
    </w:p>
    <w:p>
      <w:pPr>
        <w:adjustRightInd w:val="0"/>
        <w:snapToGrid w:val="0"/>
        <w:spacing w:line="360" w:lineRule="auto"/>
        <w:ind w:firstLine="640" w:firstLineChars="200"/>
        <w:jc w:val="left"/>
        <w:rPr>
          <w:rFonts w:ascii="黑体" w:hAnsi="黑体" w:eastAsia="黑体"/>
          <w:sz w:val="32"/>
          <w:szCs w:val="28"/>
        </w:rPr>
      </w:pPr>
      <w:r>
        <w:rPr>
          <w:rFonts w:hint="eastAsia" w:ascii="黑体" w:hAnsi="黑体" w:eastAsia="黑体"/>
          <w:sz w:val="32"/>
          <w:szCs w:val="28"/>
        </w:rPr>
        <w:t>四、案例评选</w:t>
      </w:r>
    </w:p>
    <w:p>
      <w:pPr>
        <w:adjustRightInd w:val="0"/>
        <w:snapToGrid w:val="0"/>
        <w:spacing w:line="360" w:lineRule="auto"/>
        <w:ind w:firstLine="640" w:firstLineChars="200"/>
        <w:rPr>
          <w:rFonts w:ascii="仿宋" w:hAnsi="仿宋" w:eastAsia="仿宋"/>
          <w:sz w:val="32"/>
          <w:szCs w:val="32"/>
        </w:rPr>
      </w:pPr>
      <w:r>
        <w:rPr>
          <w:rFonts w:hint="eastAsia" w:ascii="仿宋" w:hAnsi="仿宋" w:eastAsia="仿宋"/>
          <w:sz w:val="32"/>
          <w:szCs w:val="32"/>
        </w:rPr>
        <w:t>高校思想政治工作队伍培训研修中心（华南师范大学）、广东省高等学校思想政治教育研究会将组织专家对征集案例进行评选，设置一等奖、二等奖、三等奖及优秀奖若干名，并予以表彰、交流和宣传推广，部分优秀案例将在《广东教育》（高校思想教育探索）上发表。</w:t>
      </w:r>
    </w:p>
    <w:bookmarkEnd w:id="3"/>
    <w:p>
      <w:pPr>
        <w:adjustRightInd w:val="0"/>
        <w:snapToGrid w:val="0"/>
        <w:spacing w:line="360" w:lineRule="auto"/>
        <w:jc w:val="left"/>
        <w:rPr>
          <w:rFonts w:ascii="黑体" w:hAnsi="黑体" w:eastAsia="黑体"/>
          <w:sz w:val="32"/>
          <w:szCs w:val="28"/>
        </w:rPr>
      </w:pPr>
      <w:r>
        <w:rPr>
          <w:rFonts w:hint="eastAsia"/>
          <w:b/>
          <w:sz w:val="32"/>
          <w:szCs w:val="28"/>
        </w:rPr>
        <w:t xml:space="preserve">   </w:t>
      </w:r>
      <w:r>
        <w:rPr>
          <w:rFonts w:hint="eastAsia" w:ascii="黑体" w:hAnsi="黑体" w:eastAsia="黑体"/>
          <w:sz w:val="32"/>
          <w:szCs w:val="28"/>
        </w:rPr>
        <w:t xml:space="preserve"> 五、推荐要求</w:t>
      </w:r>
    </w:p>
    <w:p>
      <w:pPr>
        <w:adjustRightInd w:val="0"/>
        <w:snapToGrid w:val="0"/>
        <w:spacing w:line="360" w:lineRule="auto"/>
        <w:ind w:firstLine="640" w:firstLineChars="200"/>
        <w:rPr>
          <w:rFonts w:ascii="仿宋" w:hAnsi="仿宋" w:eastAsia="仿宋"/>
          <w:sz w:val="32"/>
          <w:szCs w:val="32"/>
        </w:rPr>
      </w:pPr>
      <w:r>
        <w:rPr>
          <w:rFonts w:hint="eastAsia" w:ascii="仿宋" w:hAnsi="仿宋" w:eastAsia="仿宋"/>
          <w:sz w:val="32"/>
          <w:szCs w:val="32"/>
          <w:lang w:val="en-US" w:eastAsia="zh-CN"/>
        </w:rPr>
        <w:t>1.</w:t>
      </w:r>
      <w:r>
        <w:rPr>
          <w:rFonts w:hint="eastAsia" w:ascii="仿宋" w:hAnsi="仿宋" w:eastAsia="仿宋"/>
          <w:sz w:val="32"/>
          <w:szCs w:val="32"/>
        </w:rPr>
        <w:t>案例征集由学校统一推荐，不接受个人单独申报，每校推荐案例不超过</w:t>
      </w:r>
      <w:r>
        <w:rPr>
          <w:rFonts w:ascii="仿宋" w:hAnsi="仿宋" w:eastAsia="仿宋"/>
          <w:sz w:val="32"/>
          <w:szCs w:val="32"/>
        </w:rPr>
        <w:t>1</w:t>
      </w:r>
      <w:r>
        <w:rPr>
          <w:rFonts w:hint="eastAsia" w:ascii="仿宋" w:hAnsi="仿宋" w:eastAsia="仿宋"/>
          <w:sz w:val="32"/>
          <w:szCs w:val="32"/>
        </w:rPr>
        <w:t>5</w:t>
      </w:r>
      <w:r>
        <w:rPr>
          <w:rFonts w:ascii="仿宋" w:hAnsi="仿宋" w:eastAsia="仿宋"/>
          <w:sz w:val="32"/>
          <w:szCs w:val="32"/>
        </w:rPr>
        <w:t>篇</w:t>
      </w:r>
      <w:r>
        <w:rPr>
          <w:rFonts w:hint="eastAsia" w:ascii="仿宋" w:hAnsi="仿宋" w:eastAsia="仿宋"/>
          <w:sz w:val="32"/>
          <w:szCs w:val="32"/>
        </w:rPr>
        <w:t>；每个骨干辅导员工作室（包括建设对象和培育对象）主持人或成员可申报一个案例，不占所在学校推荐名额。</w:t>
      </w:r>
    </w:p>
    <w:p>
      <w:pPr>
        <w:adjustRightInd w:val="0"/>
        <w:snapToGrid w:val="0"/>
        <w:spacing w:line="360" w:lineRule="auto"/>
        <w:ind w:firstLine="640" w:firstLineChars="200"/>
        <w:rPr>
          <w:rFonts w:ascii="仿宋" w:hAnsi="仿宋" w:eastAsia="仿宋"/>
          <w:sz w:val="32"/>
          <w:szCs w:val="32"/>
        </w:rPr>
      </w:pPr>
      <w:r>
        <w:rPr>
          <w:rFonts w:hint="eastAsia" w:ascii="仿宋" w:hAnsi="仿宋" w:eastAsia="仿宋"/>
          <w:sz w:val="32"/>
          <w:szCs w:val="32"/>
          <w:lang w:val="en-US" w:eastAsia="zh-CN"/>
        </w:rPr>
        <w:t>2.</w:t>
      </w:r>
      <w:r>
        <w:rPr>
          <w:rFonts w:hint="eastAsia" w:ascii="仿宋" w:hAnsi="仿宋" w:eastAsia="仿宋"/>
          <w:sz w:val="32"/>
          <w:szCs w:val="32"/>
        </w:rPr>
        <w:t>学校以附件形式将案例文本和盖章版汇总表发送到邮箱</w:t>
      </w:r>
      <w:r>
        <w:rPr>
          <w:rFonts w:hint="eastAsia" w:ascii="仿宋" w:hAnsi="仿宋" w:eastAsia="仿宋" w:cs="仿宋"/>
          <w:sz w:val="28"/>
          <w:szCs w:val="28"/>
          <w:shd w:val="clear" w:color="auto" w:fill="FFFFFF"/>
        </w:rPr>
        <w:t>gw_gdgxfdy@scnu.edu.cn</w:t>
      </w:r>
      <w:r>
        <w:rPr>
          <w:rFonts w:hint="eastAsia" w:ascii="仿宋" w:hAnsi="仿宋" w:eastAsia="仿宋"/>
          <w:sz w:val="32"/>
          <w:szCs w:val="32"/>
        </w:rPr>
        <w:t>。文件命名格式：“高校</w:t>
      </w:r>
      <w:bookmarkStart w:id="4" w:name="_GoBack"/>
      <w:bookmarkEnd w:id="4"/>
      <w:r>
        <w:rPr>
          <w:rFonts w:hint="eastAsia" w:ascii="仿宋" w:hAnsi="仿宋" w:eastAsia="仿宋"/>
          <w:sz w:val="32"/>
          <w:szCs w:val="32"/>
        </w:rPr>
        <w:t>名称-案例征集”；</w:t>
      </w:r>
    </w:p>
    <w:p>
      <w:pPr>
        <w:adjustRightInd w:val="0"/>
        <w:snapToGrid w:val="0"/>
        <w:spacing w:line="360" w:lineRule="auto"/>
        <w:ind w:firstLine="640" w:firstLineChars="200"/>
        <w:rPr>
          <w:rFonts w:hint="eastAsia" w:ascii="仿宋" w:hAnsi="仿宋" w:eastAsia="仿宋"/>
          <w:sz w:val="32"/>
          <w:szCs w:val="32"/>
          <w:lang w:eastAsia="zh-CN"/>
        </w:rPr>
      </w:pPr>
      <w:r>
        <w:rPr>
          <w:rFonts w:hint="eastAsia" w:ascii="仿宋" w:hAnsi="仿宋" w:eastAsia="仿宋"/>
          <w:sz w:val="32"/>
          <w:szCs w:val="32"/>
          <w:lang w:val="en-US" w:eastAsia="zh-CN"/>
        </w:rPr>
        <w:t>3.</w:t>
      </w:r>
      <w:r>
        <w:rPr>
          <w:rFonts w:hint="eastAsia" w:ascii="仿宋" w:hAnsi="仿宋" w:eastAsia="仿宋"/>
          <w:sz w:val="32"/>
          <w:szCs w:val="32"/>
        </w:rPr>
        <w:t>被推荐的案例作者登陆网站</w:t>
      </w:r>
      <w:r>
        <w:rPr>
          <w:rFonts w:ascii="仿宋" w:hAnsi="仿宋" w:eastAsia="仿宋"/>
          <w:sz w:val="32"/>
          <w:szCs w:val="32"/>
        </w:rPr>
        <w:t>https://gddy.scnu.edu.cn</w:t>
      </w:r>
      <w:r>
        <w:rPr>
          <w:rFonts w:hint="eastAsia" w:ascii="仿宋" w:hAnsi="仿宋" w:eastAsia="仿宋"/>
          <w:sz w:val="32"/>
          <w:szCs w:val="32"/>
        </w:rPr>
        <w:t>提交申报</w:t>
      </w:r>
      <w:r>
        <w:rPr>
          <w:rFonts w:hint="eastAsia" w:ascii="仿宋" w:hAnsi="仿宋" w:eastAsia="仿宋"/>
          <w:sz w:val="32"/>
          <w:szCs w:val="32"/>
          <w:lang w:eastAsia="zh-CN"/>
        </w:rPr>
        <w:t>。</w:t>
      </w:r>
    </w:p>
    <w:p>
      <w:pPr>
        <w:adjustRightInd w:val="0"/>
        <w:snapToGrid w:val="0"/>
        <w:spacing w:line="360" w:lineRule="auto"/>
        <w:ind w:firstLine="640" w:firstLineChars="200"/>
        <w:rPr>
          <w:rFonts w:hint="eastAsia" w:ascii="仿宋" w:hAnsi="仿宋" w:eastAsia="仿宋"/>
          <w:sz w:val="32"/>
          <w:szCs w:val="32"/>
          <w:lang w:val="en-US" w:eastAsia="zh-CN"/>
        </w:rPr>
      </w:pPr>
      <w:r>
        <w:rPr>
          <w:rFonts w:hint="eastAsia" w:ascii="仿宋" w:hAnsi="仿宋" w:eastAsia="仿宋"/>
          <w:sz w:val="32"/>
          <w:szCs w:val="32"/>
          <w:lang w:val="en-US" w:eastAsia="zh-CN"/>
        </w:rPr>
        <w:t>4.学校</w:t>
      </w:r>
      <w:r>
        <w:rPr>
          <w:rFonts w:hint="eastAsia" w:ascii="仿宋" w:hAnsi="仿宋" w:eastAsia="仿宋"/>
          <w:sz w:val="32"/>
          <w:szCs w:val="32"/>
        </w:rPr>
        <w:t>登陆网站</w:t>
      </w:r>
      <w:r>
        <w:rPr>
          <w:rFonts w:ascii="仿宋" w:hAnsi="仿宋" w:eastAsia="仿宋"/>
          <w:sz w:val="32"/>
          <w:szCs w:val="32"/>
        </w:rPr>
        <w:t>https://gddy.scnu.edu.cn</w:t>
      </w:r>
      <w:r>
        <w:rPr>
          <w:rFonts w:hint="eastAsia" w:ascii="仿宋" w:hAnsi="仿宋" w:eastAsia="仿宋"/>
          <w:sz w:val="32"/>
          <w:szCs w:val="32"/>
          <w:lang w:val="en-US" w:eastAsia="zh-CN"/>
        </w:rPr>
        <w:t>审核</w:t>
      </w:r>
      <w:r>
        <w:rPr>
          <w:rFonts w:hint="eastAsia" w:ascii="仿宋" w:hAnsi="仿宋" w:eastAsia="仿宋"/>
          <w:sz w:val="32"/>
          <w:szCs w:val="32"/>
        </w:rPr>
        <w:t>申报</w:t>
      </w:r>
      <w:r>
        <w:rPr>
          <w:rFonts w:hint="eastAsia" w:ascii="仿宋" w:hAnsi="仿宋" w:eastAsia="仿宋"/>
          <w:sz w:val="32"/>
          <w:szCs w:val="32"/>
          <w:lang w:eastAsia="zh-CN"/>
        </w:rPr>
        <w:t>。</w:t>
      </w:r>
    </w:p>
    <w:p>
      <w:pPr>
        <w:adjustRightInd w:val="0"/>
        <w:snapToGrid w:val="0"/>
        <w:spacing w:line="360" w:lineRule="auto"/>
        <w:ind w:firstLine="640" w:firstLineChars="200"/>
        <w:jc w:val="left"/>
        <w:rPr>
          <w:rFonts w:ascii="黑体" w:hAnsi="黑体" w:eastAsia="黑体"/>
          <w:sz w:val="32"/>
          <w:szCs w:val="32"/>
        </w:rPr>
      </w:pPr>
      <w:r>
        <w:rPr>
          <w:rFonts w:hint="eastAsia" w:ascii="黑体" w:hAnsi="黑体" w:eastAsia="黑体"/>
          <w:sz w:val="32"/>
          <w:szCs w:val="32"/>
        </w:rPr>
        <w:t>六、联系方式</w:t>
      </w:r>
    </w:p>
    <w:p>
      <w:pPr>
        <w:adjustRightInd w:val="0"/>
        <w:snapToGrid w:val="0"/>
        <w:spacing w:line="360" w:lineRule="auto"/>
        <w:ind w:firstLine="560"/>
        <w:jc w:val="left"/>
        <w:rPr>
          <w:rFonts w:hint="eastAsia" w:ascii="仿宋" w:hAnsi="仿宋" w:eastAsia="仿宋"/>
          <w:sz w:val="32"/>
          <w:szCs w:val="32"/>
          <w:lang w:eastAsia="zh-CN"/>
        </w:rPr>
      </w:pPr>
      <w:r>
        <w:rPr>
          <w:rFonts w:hint="eastAsia" w:ascii="仿宋" w:hAnsi="仿宋" w:eastAsia="仿宋"/>
          <w:sz w:val="32"/>
          <w:szCs w:val="32"/>
          <w:lang w:val="en-US" w:eastAsia="zh-CN"/>
        </w:rPr>
        <w:t>联系人：</w:t>
      </w:r>
      <w:r>
        <w:rPr>
          <w:rFonts w:hint="eastAsia" w:ascii="仿宋" w:hAnsi="仿宋" w:eastAsia="仿宋"/>
          <w:sz w:val="32"/>
          <w:szCs w:val="32"/>
        </w:rPr>
        <w:t>陈杰聪</w:t>
      </w:r>
      <w:r>
        <w:rPr>
          <w:rFonts w:hint="eastAsia" w:ascii="仿宋" w:hAnsi="仿宋" w:eastAsia="仿宋"/>
          <w:sz w:val="32"/>
          <w:szCs w:val="32"/>
          <w:lang w:eastAsia="zh-CN"/>
        </w:rPr>
        <w:t>，</w:t>
      </w:r>
      <w:r>
        <w:rPr>
          <w:rFonts w:hint="eastAsia" w:ascii="仿宋" w:hAnsi="仿宋" w:eastAsia="仿宋"/>
          <w:sz w:val="32"/>
          <w:szCs w:val="32"/>
          <w:lang w:val="en-US" w:eastAsia="zh-CN"/>
        </w:rPr>
        <w:t>林冠声</w:t>
      </w:r>
    </w:p>
    <w:p>
      <w:pPr>
        <w:jc w:val="center"/>
        <w:rPr>
          <w:rFonts w:hint="eastAsia" w:ascii="仿宋_GB2312" w:hAnsi="宋体" w:eastAsia="仿宋_GB2312" w:cs="宋体"/>
          <w:color w:val="auto"/>
          <w:sz w:val="32"/>
          <w:szCs w:val="32"/>
          <w:lang w:val="en-US" w:eastAsia="zh-CN"/>
        </w:rPr>
      </w:pPr>
      <w:r>
        <w:rPr>
          <w:rFonts w:hint="eastAsia" w:ascii="仿宋" w:hAnsi="仿宋" w:eastAsia="仿宋"/>
          <w:sz w:val="32"/>
          <w:szCs w:val="32"/>
          <w:lang w:val="en-US" w:eastAsia="zh-CN"/>
        </w:rPr>
        <w:t>联系电话：</w:t>
      </w:r>
      <w:r>
        <w:rPr>
          <w:rFonts w:hint="eastAsia" w:ascii="仿宋" w:hAnsi="仿宋" w:eastAsia="仿宋"/>
          <w:sz w:val="32"/>
          <w:szCs w:val="32"/>
        </w:rPr>
        <w:t>0</w:t>
      </w:r>
      <w:r>
        <w:rPr>
          <w:rFonts w:ascii="仿宋" w:hAnsi="仿宋" w:eastAsia="仿宋"/>
          <w:sz w:val="32"/>
          <w:szCs w:val="32"/>
        </w:rPr>
        <w:t>20</w:t>
      </w:r>
      <w:r>
        <w:rPr>
          <w:rFonts w:hint="eastAsia" w:ascii="仿宋" w:hAnsi="仿宋" w:eastAsia="仿宋"/>
          <w:sz w:val="32"/>
          <w:szCs w:val="32"/>
        </w:rPr>
        <w:t>-</w:t>
      </w:r>
      <w:r>
        <w:rPr>
          <w:rFonts w:ascii="仿宋" w:hAnsi="仿宋" w:eastAsia="仿宋"/>
          <w:sz w:val="32"/>
          <w:szCs w:val="32"/>
        </w:rPr>
        <w:t>87590104</w:t>
      </w:r>
      <w:r>
        <w:rPr>
          <w:rFonts w:hint="eastAsia" w:ascii="仿宋" w:hAnsi="仿宋" w:eastAsia="仿宋"/>
          <w:sz w:val="32"/>
          <w:szCs w:val="32"/>
        </w:rPr>
        <w:t>，1</w:t>
      </w:r>
      <w:r>
        <w:rPr>
          <w:rFonts w:ascii="仿宋" w:hAnsi="仿宋" w:eastAsia="仿宋"/>
          <w:sz w:val="32"/>
          <w:szCs w:val="32"/>
        </w:rPr>
        <w:t>3392601536</w:t>
      </w:r>
      <w:r>
        <w:rPr>
          <w:rFonts w:hint="eastAsia" w:ascii="仿宋" w:hAnsi="仿宋" w:eastAsia="仿宋"/>
          <w:sz w:val="32"/>
          <w:szCs w:val="32"/>
        </w:rPr>
        <w:t>；</w:t>
      </w:r>
      <w:r>
        <w:rPr>
          <w:rFonts w:hint="eastAsia" w:ascii="仿宋_GB2312" w:hAnsi="宋体" w:eastAsia="仿宋_GB2312" w:cs="宋体"/>
          <w:color w:val="auto"/>
          <w:sz w:val="32"/>
          <w:szCs w:val="32"/>
          <w:lang w:val="en-US" w:eastAsia="zh-CN"/>
        </w:rPr>
        <w:t>13145717983</w:t>
      </w:r>
    </w:p>
    <w:p>
      <w:pPr>
        <w:jc w:val="center"/>
        <w:rPr>
          <w:rFonts w:hint="eastAsia" w:ascii="仿宋_GB2312" w:hAnsi="宋体" w:eastAsia="仿宋_GB2312" w:cs="宋体"/>
          <w:color w:val="auto"/>
          <w:sz w:val="32"/>
          <w:szCs w:val="32"/>
          <w:lang w:val="en-US" w:eastAsia="zh-CN"/>
        </w:rPr>
      </w:pPr>
    </w:p>
    <w:p>
      <w:pPr>
        <w:jc w:val="left"/>
        <w:rPr>
          <w:rFonts w:ascii="仿宋" w:hAnsi="仿宋" w:eastAsia="仿宋"/>
          <w:sz w:val="32"/>
          <w:szCs w:val="32"/>
        </w:rPr>
      </w:pPr>
      <w:r>
        <w:rPr>
          <w:rFonts w:hint="eastAsia" w:ascii="仿宋" w:hAnsi="仿宋" w:eastAsia="仿宋"/>
          <w:sz w:val="32"/>
          <w:szCs w:val="32"/>
        </w:rPr>
        <w:t>附件:</w:t>
      </w:r>
      <w:r>
        <w:rPr>
          <w:rFonts w:ascii="仿宋" w:hAnsi="仿宋" w:eastAsia="仿宋"/>
          <w:sz w:val="32"/>
          <w:szCs w:val="32"/>
        </w:rPr>
        <w:t>1.</w:t>
      </w:r>
      <w:r>
        <w:rPr>
          <w:rFonts w:hint="eastAsia" w:ascii="仿宋" w:hAnsi="仿宋" w:eastAsia="仿宋"/>
          <w:sz w:val="32"/>
          <w:szCs w:val="32"/>
        </w:rPr>
        <w:t>网站申报操作指南</w:t>
      </w:r>
    </w:p>
    <w:p>
      <w:pPr>
        <w:ind w:left="200" w:firstLine="640" w:firstLineChars="200"/>
        <w:jc w:val="left"/>
        <w:rPr>
          <w:rFonts w:ascii="仿宋" w:hAnsi="仿宋" w:eastAsia="仿宋"/>
          <w:sz w:val="32"/>
          <w:szCs w:val="32"/>
        </w:rPr>
      </w:pPr>
      <w:r>
        <w:rPr>
          <w:rFonts w:hint="eastAsia" w:ascii="仿宋" w:hAnsi="仿宋" w:eastAsia="仿宋"/>
          <w:sz w:val="32"/>
          <w:szCs w:val="32"/>
        </w:rPr>
        <w:t>2</w:t>
      </w:r>
      <w:r>
        <w:rPr>
          <w:rFonts w:ascii="仿宋" w:hAnsi="仿宋" w:eastAsia="仿宋"/>
          <w:sz w:val="32"/>
          <w:szCs w:val="32"/>
        </w:rPr>
        <w:t>.</w:t>
      </w:r>
      <w:r>
        <w:rPr>
          <w:rFonts w:hint="eastAsia" w:ascii="仿宋" w:hAnsi="仿宋" w:eastAsia="仿宋"/>
          <w:sz w:val="32"/>
          <w:szCs w:val="32"/>
        </w:rPr>
        <w:t>广东高校学生工作优秀案例评优活动汇总表</w:t>
      </w:r>
    </w:p>
    <w:p>
      <w:pPr>
        <w:ind w:left="200" w:firstLine="640" w:firstLineChars="200"/>
        <w:jc w:val="left"/>
        <w:rPr>
          <w:rFonts w:ascii="仿宋" w:hAnsi="仿宋" w:eastAsia="仿宋"/>
          <w:sz w:val="32"/>
          <w:szCs w:val="32"/>
        </w:rPr>
      </w:pPr>
      <w:r>
        <w:rPr>
          <w:rFonts w:hint="eastAsia" w:ascii="仿宋" w:hAnsi="仿宋" w:eastAsia="仿宋"/>
          <w:sz w:val="32"/>
          <w:szCs w:val="32"/>
        </w:rPr>
        <w:t>3.学生工作案例格式要求</w:t>
      </w:r>
    </w:p>
    <w:p>
      <w:pPr>
        <w:ind w:left="200" w:firstLine="640" w:firstLineChars="200"/>
        <w:jc w:val="left"/>
        <w:rPr>
          <w:rFonts w:ascii="仿宋" w:hAnsi="仿宋" w:eastAsia="仿宋"/>
          <w:sz w:val="32"/>
          <w:szCs w:val="32"/>
        </w:rPr>
      </w:pPr>
    </w:p>
    <w:p>
      <w:pPr>
        <w:ind w:left="200" w:firstLine="640" w:firstLineChars="200"/>
        <w:jc w:val="left"/>
        <w:rPr>
          <w:rFonts w:ascii="仿宋" w:hAnsi="仿宋" w:eastAsia="仿宋"/>
          <w:sz w:val="32"/>
          <w:szCs w:val="32"/>
        </w:rPr>
      </w:pPr>
    </w:p>
    <w:p>
      <w:pPr>
        <w:jc w:val="right"/>
        <w:rPr>
          <w:rFonts w:hint="eastAsia" w:ascii="仿宋" w:hAnsi="仿宋" w:eastAsia="仿宋"/>
          <w:sz w:val="32"/>
          <w:szCs w:val="32"/>
        </w:rPr>
      </w:pPr>
      <w:r>
        <w:rPr>
          <w:rFonts w:hint="eastAsia" w:ascii="仿宋" w:hAnsi="仿宋" w:eastAsia="仿宋"/>
          <w:sz w:val="32"/>
          <w:szCs w:val="32"/>
        </w:rPr>
        <w:t xml:space="preserve">高校思想政治工作队伍培训研修中心（华南师范大学） </w:t>
      </w:r>
    </w:p>
    <w:p>
      <w:pPr>
        <w:jc w:val="right"/>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广东省高等学校思想政治教育研究会</w:t>
      </w:r>
    </w:p>
    <w:bookmarkEnd w:id="2"/>
    <w:p>
      <w:pPr>
        <w:ind w:firstLine="640" w:firstLineChars="200"/>
        <w:jc w:val="right"/>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2</w:t>
      </w:r>
      <w:r>
        <w:rPr>
          <w:rFonts w:ascii="仿宋" w:hAnsi="仿宋" w:eastAsia="仿宋"/>
          <w:sz w:val="32"/>
          <w:szCs w:val="32"/>
        </w:rPr>
        <w:t>021</w:t>
      </w:r>
      <w:r>
        <w:rPr>
          <w:rFonts w:hint="eastAsia" w:ascii="仿宋" w:hAnsi="仿宋" w:eastAsia="仿宋"/>
          <w:sz w:val="32"/>
          <w:szCs w:val="32"/>
        </w:rPr>
        <w:t>年10月</w:t>
      </w:r>
      <w:r>
        <w:rPr>
          <w:rFonts w:hint="eastAsia" w:ascii="仿宋" w:hAnsi="仿宋" w:eastAsia="仿宋"/>
          <w:sz w:val="32"/>
          <w:szCs w:val="32"/>
          <w:lang w:val="en-US" w:eastAsia="zh-CN"/>
        </w:rPr>
        <w:t>21</w:t>
      </w:r>
      <w:r>
        <w:rPr>
          <w:rFonts w:hint="eastAsia" w:ascii="仿宋" w:hAnsi="仿宋" w:eastAsia="仿宋"/>
          <w:sz w:val="32"/>
          <w:szCs w:val="32"/>
        </w:rPr>
        <w:t>日</w:t>
      </w:r>
    </w:p>
    <w:p>
      <w:pPr>
        <w:ind w:right="960"/>
        <w:jc w:val="right"/>
        <w:rPr>
          <w:rFonts w:ascii="仿宋" w:hAnsi="仿宋" w:eastAsia="仿宋"/>
          <w:sz w:val="32"/>
          <w:szCs w:val="32"/>
        </w:rPr>
      </w:pPr>
    </w:p>
    <w:p>
      <w:pPr>
        <w:ind w:right="960"/>
        <w:jc w:val="left"/>
        <w:rPr>
          <w:rFonts w:ascii="仿宋" w:hAnsi="仿宋" w:eastAsia="仿宋"/>
          <w:sz w:val="32"/>
          <w:szCs w:val="32"/>
        </w:rPr>
      </w:pPr>
    </w:p>
    <w:p>
      <w:pPr>
        <w:ind w:right="960"/>
        <w:jc w:val="left"/>
        <w:rPr>
          <w:rFonts w:ascii="仿宋" w:hAnsi="仿宋" w:eastAsia="仿宋"/>
          <w:sz w:val="32"/>
          <w:szCs w:val="32"/>
        </w:rPr>
      </w:pPr>
    </w:p>
    <w:p>
      <w:pPr>
        <w:ind w:right="960"/>
        <w:jc w:val="left"/>
        <w:rPr>
          <w:rFonts w:ascii="仿宋" w:hAnsi="仿宋" w:eastAsia="仿宋"/>
          <w:sz w:val="32"/>
          <w:szCs w:val="32"/>
        </w:rPr>
      </w:pPr>
    </w:p>
    <w:p>
      <w:pPr>
        <w:ind w:right="960"/>
        <w:jc w:val="left"/>
        <w:rPr>
          <w:rFonts w:ascii="仿宋" w:hAnsi="仿宋" w:eastAsia="仿宋"/>
          <w:sz w:val="32"/>
          <w:szCs w:val="32"/>
        </w:rPr>
      </w:pPr>
    </w:p>
    <w:p>
      <w:pPr>
        <w:ind w:right="960"/>
        <w:jc w:val="left"/>
        <w:rPr>
          <w:rFonts w:ascii="仿宋" w:hAnsi="仿宋" w:eastAsia="仿宋"/>
          <w:sz w:val="32"/>
          <w:szCs w:val="32"/>
        </w:rPr>
      </w:pPr>
    </w:p>
    <w:p>
      <w:pPr>
        <w:ind w:right="960"/>
        <w:jc w:val="left"/>
        <w:rPr>
          <w:rFonts w:ascii="仿宋" w:hAnsi="仿宋" w:eastAsia="仿宋"/>
          <w:sz w:val="32"/>
          <w:szCs w:val="32"/>
        </w:rPr>
      </w:pPr>
    </w:p>
    <w:p>
      <w:pPr>
        <w:ind w:right="960"/>
        <w:jc w:val="left"/>
        <w:rPr>
          <w:rFonts w:ascii="仿宋" w:hAnsi="仿宋" w:eastAsia="仿宋"/>
          <w:sz w:val="32"/>
          <w:szCs w:val="32"/>
        </w:rPr>
      </w:pPr>
    </w:p>
    <w:p>
      <w:pPr>
        <w:ind w:right="960"/>
        <w:jc w:val="left"/>
        <w:rPr>
          <w:rFonts w:ascii="仿宋" w:hAnsi="仿宋" w:eastAsia="仿宋"/>
          <w:sz w:val="32"/>
          <w:szCs w:val="32"/>
        </w:rPr>
      </w:pPr>
    </w:p>
    <w:p>
      <w:pPr>
        <w:ind w:right="960"/>
        <w:jc w:val="left"/>
        <w:rPr>
          <w:rFonts w:ascii="仿宋" w:hAnsi="仿宋" w:eastAsia="仿宋"/>
          <w:sz w:val="32"/>
          <w:szCs w:val="32"/>
        </w:rPr>
      </w:pPr>
    </w:p>
    <w:p>
      <w:pPr>
        <w:ind w:right="960"/>
        <w:jc w:val="left"/>
        <w:rPr>
          <w:rFonts w:ascii="仿宋" w:hAnsi="仿宋" w:eastAsia="仿宋"/>
          <w:sz w:val="32"/>
          <w:szCs w:val="32"/>
        </w:rPr>
      </w:pPr>
    </w:p>
    <w:p>
      <w:pPr>
        <w:ind w:right="960"/>
        <w:jc w:val="left"/>
        <w:rPr>
          <w:rFonts w:hint="eastAsia" w:ascii="仿宋" w:hAnsi="仿宋" w:eastAsia="仿宋"/>
          <w:sz w:val="32"/>
          <w:szCs w:val="32"/>
        </w:rPr>
      </w:pPr>
    </w:p>
    <w:p>
      <w:pPr>
        <w:ind w:right="960"/>
        <w:jc w:val="left"/>
        <w:rPr>
          <w:rFonts w:hint="eastAsia" w:ascii="仿宋" w:hAnsi="仿宋" w:eastAsia="仿宋"/>
          <w:sz w:val="32"/>
          <w:szCs w:val="32"/>
        </w:rPr>
      </w:pPr>
    </w:p>
    <w:p>
      <w:pPr>
        <w:ind w:right="960"/>
        <w:jc w:val="left"/>
        <w:rPr>
          <w:rFonts w:ascii="仿宋" w:hAnsi="仿宋" w:eastAsia="仿宋"/>
          <w:sz w:val="32"/>
          <w:szCs w:val="32"/>
        </w:rPr>
      </w:pPr>
      <w:r>
        <w:rPr>
          <w:rFonts w:hint="eastAsia" w:ascii="仿宋" w:hAnsi="仿宋" w:eastAsia="仿宋"/>
          <w:sz w:val="32"/>
          <w:szCs w:val="32"/>
        </w:rPr>
        <w:t>公开方式：主动公开</w:t>
      </w:r>
    </w:p>
    <w:p>
      <w:pPr>
        <w:jc w:val="left"/>
        <w:rPr>
          <w:rFonts w:ascii="仿宋" w:hAnsi="仿宋" w:eastAsia="仿宋"/>
          <w:sz w:val="28"/>
          <w:szCs w:val="32"/>
        </w:rPr>
        <w:sectPr>
          <w:pgSz w:w="11906" w:h="16838"/>
          <w:pgMar w:top="2098" w:right="1474" w:bottom="1985" w:left="1588" w:header="851" w:footer="992" w:gutter="0"/>
          <w:cols w:space="425" w:num="1"/>
          <w:docGrid w:type="linesAndChars" w:linePitch="312" w:charSpace="0"/>
        </w:sectPr>
      </w:pPr>
    </w:p>
    <w:p>
      <w:pPr>
        <w:jc w:val="left"/>
        <w:rPr>
          <w:rFonts w:ascii="仿宋" w:hAnsi="仿宋" w:eastAsia="仿宋"/>
          <w:sz w:val="28"/>
          <w:szCs w:val="32"/>
        </w:rPr>
      </w:pPr>
      <w:r>
        <w:rPr>
          <w:rFonts w:hint="eastAsia" w:ascii="仿宋" w:hAnsi="仿宋" w:eastAsia="仿宋"/>
          <w:sz w:val="28"/>
          <w:szCs w:val="32"/>
        </w:rPr>
        <w:t>附件1：</w:t>
      </w:r>
    </w:p>
    <w:p>
      <w:pPr>
        <w:jc w:val="center"/>
        <w:rPr>
          <w:rFonts w:ascii="黑体" w:hAnsi="黑体" w:eastAsia="仿宋"/>
          <w:sz w:val="24"/>
        </w:rPr>
      </w:pPr>
      <w:r>
        <w:rPr>
          <w:rFonts w:hint="eastAsia" w:ascii="仿宋" w:hAnsi="仿宋" w:eastAsia="仿宋"/>
          <w:sz w:val="28"/>
          <w:szCs w:val="32"/>
        </w:rPr>
        <w:t>网站申报操作指南（申报人员）</w:t>
      </w:r>
    </w:p>
    <w:p>
      <w:pPr>
        <w:rPr>
          <w:rFonts w:ascii="黑体" w:hAnsi="黑体" w:eastAsia="黑体"/>
          <w:sz w:val="28"/>
        </w:rPr>
      </w:pPr>
      <w:r>
        <w:rPr>
          <w:rFonts w:hint="eastAsia" w:ascii="黑体" w:hAnsi="黑体" w:eastAsia="黑体"/>
          <w:sz w:val="28"/>
        </w:rPr>
        <w:t>一、登陆</w:t>
      </w:r>
      <w:r>
        <w:rPr>
          <w:rFonts w:ascii="黑体" w:hAnsi="黑体" w:eastAsia="黑体"/>
          <w:sz w:val="28"/>
        </w:rPr>
        <w:t>https://gddy.scnu.edu.cn/</w:t>
      </w:r>
    </w:p>
    <w:p>
      <w:pPr>
        <w:rPr>
          <w:rFonts w:ascii="黑体" w:hAnsi="黑体" w:eastAsia="黑体"/>
          <w:sz w:val="28"/>
        </w:rPr>
      </w:pPr>
      <w:r>
        <w:rPr>
          <w:rFonts w:ascii="黑体" w:hAnsi="黑体" w:eastAsia="黑体"/>
          <w:sz w:val="28"/>
        </w:rPr>
        <w:drawing>
          <wp:inline distT="0" distB="0" distL="0" distR="0">
            <wp:extent cx="5274310" cy="284226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74310" cy="2842260"/>
                    </a:xfrm>
                    <a:prstGeom prst="rect">
                      <a:avLst/>
                    </a:prstGeom>
                  </pic:spPr>
                </pic:pic>
              </a:graphicData>
            </a:graphic>
          </wp:inline>
        </w:drawing>
      </w:r>
    </w:p>
    <w:p>
      <w:pPr>
        <w:rPr>
          <w:rFonts w:ascii="黑体" w:hAnsi="黑体" w:eastAsia="黑体"/>
          <w:sz w:val="28"/>
        </w:rPr>
      </w:pPr>
      <w:r>
        <w:rPr>
          <w:rFonts w:hint="eastAsia" w:ascii="黑体" w:hAnsi="黑体" w:eastAsia="黑体"/>
          <w:sz w:val="28"/>
        </w:rPr>
        <w:t>二、注册账户（已有账户可直接登陆）</w:t>
      </w:r>
    </w:p>
    <w:p>
      <w:pPr>
        <w:rPr>
          <w:rFonts w:ascii="黑体" w:hAnsi="黑体" w:eastAsia="黑体"/>
          <w:sz w:val="28"/>
        </w:rPr>
      </w:pPr>
      <w:r>
        <w:rPr>
          <w:rFonts w:ascii="黑体" w:hAnsi="黑体" w:eastAsia="黑体"/>
          <w:sz w:val="28"/>
        </w:rPr>
        <w:drawing>
          <wp:inline distT="0" distB="0" distL="0" distR="0">
            <wp:extent cx="5274310" cy="284226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5274310" cy="2842260"/>
                    </a:xfrm>
                    <a:prstGeom prst="rect">
                      <a:avLst/>
                    </a:prstGeom>
                  </pic:spPr>
                </pic:pic>
              </a:graphicData>
            </a:graphic>
          </wp:inline>
        </w:drawing>
      </w:r>
    </w:p>
    <w:p>
      <w:pPr>
        <w:rPr>
          <w:rFonts w:ascii="黑体" w:hAnsi="黑体" w:eastAsia="黑体"/>
          <w:sz w:val="28"/>
        </w:rPr>
      </w:pPr>
      <w:r>
        <w:rPr>
          <w:rFonts w:ascii="黑体" w:hAnsi="黑体" w:eastAsia="黑体"/>
          <w:sz w:val="28"/>
        </w:rPr>
        <w:drawing>
          <wp:inline distT="0" distB="0" distL="0" distR="0">
            <wp:extent cx="5274310" cy="284226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5274310" cy="2842260"/>
                    </a:xfrm>
                    <a:prstGeom prst="rect">
                      <a:avLst/>
                    </a:prstGeom>
                  </pic:spPr>
                </pic:pic>
              </a:graphicData>
            </a:graphic>
          </wp:inline>
        </w:drawing>
      </w:r>
    </w:p>
    <w:p>
      <w:pPr>
        <w:rPr>
          <w:rFonts w:ascii="黑体" w:hAnsi="黑体" w:eastAsia="黑体"/>
          <w:sz w:val="28"/>
        </w:rPr>
      </w:pPr>
      <w:r>
        <w:rPr>
          <w:rFonts w:hint="eastAsia" w:ascii="黑体" w:hAnsi="黑体" w:eastAsia="黑体"/>
          <w:sz w:val="28"/>
        </w:rPr>
        <w:t>三、登陆</w:t>
      </w:r>
    </w:p>
    <w:p>
      <w:pPr>
        <w:rPr>
          <w:rFonts w:ascii="黑体" w:hAnsi="黑体" w:eastAsia="黑体"/>
          <w:sz w:val="28"/>
        </w:rPr>
      </w:pPr>
      <w:r>
        <w:rPr>
          <w:rFonts w:ascii="黑体" w:hAnsi="黑体" w:eastAsia="黑体"/>
          <w:sz w:val="28"/>
        </w:rPr>
        <w:drawing>
          <wp:inline distT="0" distB="0" distL="0" distR="0">
            <wp:extent cx="5274310" cy="295973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tretch>
                      <a:fillRect/>
                    </a:stretch>
                  </pic:blipFill>
                  <pic:spPr>
                    <a:xfrm>
                      <a:off x="0" y="0"/>
                      <a:ext cx="5274310" cy="2959735"/>
                    </a:xfrm>
                    <a:prstGeom prst="rect">
                      <a:avLst/>
                    </a:prstGeom>
                  </pic:spPr>
                </pic:pic>
              </a:graphicData>
            </a:graphic>
          </wp:inline>
        </w:drawing>
      </w:r>
    </w:p>
    <w:p>
      <w:pPr>
        <w:jc w:val="both"/>
        <w:rPr>
          <w:rFonts w:hint="default" w:ascii="仿宋" w:hAnsi="仿宋" w:eastAsia="仿宋"/>
          <w:sz w:val="28"/>
          <w:szCs w:val="32"/>
          <w:lang w:val="en-US" w:eastAsia="zh-CN"/>
        </w:rPr>
      </w:pPr>
      <w:r>
        <w:rPr>
          <w:rFonts w:hint="eastAsia" w:ascii="仿宋" w:hAnsi="仿宋" w:eastAsia="仿宋"/>
          <w:color w:val="auto"/>
          <w:sz w:val="28"/>
          <w:szCs w:val="32"/>
          <w:u w:val="none"/>
          <w:lang w:val="en-US" w:eastAsia="zh-CN"/>
        </w:rPr>
        <w:t>如遇账号登陆或注册存在问题，可电话联系或发送电子邮件到20190814@m.scnu.edu.cn</w:t>
      </w:r>
    </w:p>
    <w:p>
      <w:pPr>
        <w:rPr>
          <w:rFonts w:ascii="黑体" w:hAnsi="黑体" w:eastAsia="黑体"/>
          <w:sz w:val="28"/>
        </w:rPr>
      </w:pPr>
      <w:r>
        <w:rPr>
          <w:rFonts w:hint="eastAsia" w:ascii="黑体" w:hAnsi="黑体" w:eastAsia="黑体"/>
          <w:sz w:val="28"/>
        </w:rPr>
        <w:t>四、提交</w:t>
      </w:r>
    </w:p>
    <w:p>
      <w:pPr>
        <w:rPr>
          <w:rFonts w:ascii="黑体" w:hAnsi="黑体" w:eastAsia="黑体"/>
          <w:sz w:val="28"/>
        </w:rPr>
      </w:pPr>
      <w:r>
        <w:rPr>
          <w:rFonts w:ascii="黑体" w:hAnsi="黑体" w:eastAsia="黑体"/>
          <w:sz w:val="28"/>
        </w:rPr>
        <w:drawing>
          <wp:inline distT="0" distB="0" distL="0" distR="0">
            <wp:extent cx="5274310" cy="772795"/>
            <wp:effectExtent l="0" t="0" r="254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tretch>
                      <a:fillRect/>
                    </a:stretch>
                  </pic:blipFill>
                  <pic:spPr>
                    <a:xfrm>
                      <a:off x="0" y="0"/>
                      <a:ext cx="5274310" cy="772795"/>
                    </a:xfrm>
                    <a:prstGeom prst="rect">
                      <a:avLst/>
                    </a:prstGeom>
                  </pic:spPr>
                </pic:pic>
              </a:graphicData>
            </a:graphic>
          </wp:inline>
        </w:drawing>
      </w:r>
    </w:p>
    <w:p>
      <w:pPr>
        <w:rPr>
          <w:rFonts w:ascii="黑体" w:hAnsi="黑体" w:eastAsia="黑体"/>
          <w:sz w:val="28"/>
        </w:rPr>
      </w:pPr>
    </w:p>
    <w:p>
      <w:pPr>
        <w:rPr>
          <w:rFonts w:ascii="黑体" w:hAnsi="黑体" w:eastAsia="黑体"/>
          <w:sz w:val="28"/>
        </w:rPr>
      </w:pPr>
      <w:r>
        <w:rPr>
          <w:rFonts w:ascii="黑体" w:hAnsi="黑体" w:eastAsia="黑体"/>
          <w:sz w:val="28"/>
        </w:rPr>
        <w:drawing>
          <wp:inline distT="0" distB="0" distL="0" distR="0">
            <wp:extent cx="5274310" cy="1135380"/>
            <wp:effectExtent l="0" t="0" r="254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rcRect t="60556"/>
                    <a:stretch>
                      <a:fillRect/>
                    </a:stretch>
                  </pic:blipFill>
                  <pic:spPr>
                    <a:xfrm>
                      <a:off x="0" y="0"/>
                      <a:ext cx="5274310" cy="1135380"/>
                    </a:xfrm>
                    <a:prstGeom prst="rect">
                      <a:avLst/>
                    </a:prstGeom>
                    <a:ln>
                      <a:noFill/>
                    </a:ln>
                  </pic:spPr>
                </pic:pic>
              </a:graphicData>
            </a:graphic>
          </wp:inline>
        </w:drawing>
      </w:r>
    </w:p>
    <w:p>
      <w:pPr>
        <w:rPr>
          <w:rFonts w:ascii="黑体" w:hAnsi="黑体" w:eastAsia="黑体"/>
          <w:sz w:val="28"/>
        </w:rPr>
      </w:pPr>
      <w:r>
        <w:rPr>
          <w:rFonts w:ascii="黑体" w:hAnsi="黑体" w:eastAsia="黑体"/>
          <w:sz w:val="28"/>
        </w:rPr>
        <w:drawing>
          <wp:inline distT="0" distB="0" distL="0" distR="0">
            <wp:extent cx="5274310" cy="67119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
                    <a:stretch>
                      <a:fillRect/>
                    </a:stretch>
                  </pic:blipFill>
                  <pic:spPr>
                    <a:xfrm>
                      <a:off x="0" y="0"/>
                      <a:ext cx="5274310" cy="671195"/>
                    </a:xfrm>
                    <a:prstGeom prst="rect">
                      <a:avLst/>
                    </a:prstGeom>
                  </pic:spPr>
                </pic:pic>
              </a:graphicData>
            </a:graphic>
          </wp:inline>
        </w:drawing>
      </w:r>
    </w:p>
    <w:p>
      <w:pPr>
        <w:jc w:val="center"/>
        <w:rPr>
          <w:rFonts w:ascii="仿宋" w:hAnsi="仿宋" w:eastAsia="仿宋"/>
          <w:sz w:val="28"/>
          <w:szCs w:val="32"/>
        </w:rPr>
      </w:pPr>
    </w:p>
    <w:p>
      <w:pPr>
        <w:jc w:val="center"/>
        <w:rPr>
          <w:rFonts w:ascii="黑体" w:hAnsi="黑体" w:eastAsia="仿宋"/>
          <w:sz w:val="24"/>
        </w:rPr>
      </w:pPr>
      <w:r>
        <w:rPr>
          <w:rFonts w:hint="eastAsia" w:ascii="仿宋" w:hAnsi="仿宋" w:eastAsia="仿宋"/>
          <w:sz w:val="28"/>
          <w:szCs w:val="32"/>
        </w:rPr>
        <w:t>网站申报操作指南（院校管理员）</w:t>
      </w:r>
    </w:p>
    <w:p>
      <w:pPr>
        <w:rPr>
          <w:rFonts w:ascii="黑体" w:hAnsi="黑体" w:eastAsia="黑体"/>
          <w:sz w:val="28"/>
        </w:rPr>
      </w:pPr>
      <w:r>
        <w:rPr>
          <w:rFonts w:hint="eastAsia" w:ascii="黑体" w:hAnsi="黑体" w:eastAsia="黑体"/>
          <w:sz w:val="28"/>
        </w:rPr>
        <w:t>一、登陆</w:t>
      </w:r>
      <w:r>
        <w:rPr>
          <w:rFonts w:ascii="黑体" w:hAnsi="黑体" w:eastAsia="黑体"/>
          <w:sz w:val="28"/>
        </w:rPr>
        <w:t>https://gddy.scnu.edu.cn/</w:t>
      </w:r>
    </w:p>
    <w:p>
      <w:pPr>
        <w:rPr>
          <w:rFonts w:ascii="黑体" w:hAnsi="黑体" w:eastAsia="黑体"/>
          <w:sz w:val="28"/>
        </w:rPr>
      </w:pPr>
      <w:r>
        <w:rPr>
          <w:rFonts w:ascii="黑体" w:hAnsi="黑体" w:eastAsia="黑体"/>
          <w:sz w:val="28"/>
        </w:rPr>
        <w:drawing>
          <wp:inline distT="0" distB="0" distL="0" distR="0">
            <wp:extent cx="5274310" cy="2842260"/>
            <wp:effectExtent l="0" t="0" r="254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
                    <a:stretch>
                      <a:fillRect/>
                    </a:stretch>
                  </pic:blipFill>
                  <pic:spPr>
                    <a:xfrm>
                      <a:off x="0" y="0"/>
                      <a:ext cx="5274310" cy="2842260"/>
                    </a:xfrm>
                    <a:prstGeom prst="rect">
                      <a:avLst/>
                    </a:prstGeom>
                  </pic:spPr>
                </pic:pic>
              </a:graphicData>
            </a:graphic>
          </wp:inline>
        </w:drawing>
      </w:r>
    </w:p>
    <w:p>
      <w:pPr>
        <w:rPr>
          <w:rFonts w:ascii="黑体" w:hAnsi="黑体" w:eastAsia="黑体"/>
          <w:sz w:val="28"/>
        </w:rPr>
      </w:pPr>
    </w:p>
    <w:p>
      <w:pPr>
        <w:rPr>
          <w:rFonts w:ascii="黑体" w:hAnsi="黑体" w:eastAsia="黑体"/>
          <w:sz w:val="28"/>
        </w:rPr>
      </w:pPr>
    </w:p>
    <w:p>
      <w:pPr>
        <w:rPr>
          <w:rFonts w:ascii="黑体" w:hAnsi="黑体" w:eastAsia="黑体"/>
          <w:sz w:val="28"/>
        </w:rPr>
      </w:pPr>
      <w:r>
        <w:rPr>
          <w:rFonts w:hint="eastAsia" w:ascii="黑体" w:hAnsi="黑体" w:eastAsia="黑体"/>
          <w:sz w:val="28"/>
        </w:rPr>
        <w:t>二、登陆</w:t>
      </w:r>
    </w:p>
    <w:p>
      <w:pPr>
        <w:rPr>
          <w:rFonts w:ascii="黑体" w:hAnsi="黑体" w:eastAsia="黑体"/>
          <w:sz w:val="28"/>
        </w:rPr>
      </w:pPr>
      <w:r>
        <w:rPr>
          <w:rFonts w:ascii="黑体" w:hAnsi="黑体" w:eastAsia="黑体"/>
          <w:sz w:val="28"/>
        </w:rPr>
        <w:drawing>
          <wp:inline distT="0" distB="0" distL="0" distR="0">
            <wp:extent cx="5274310" cy="2959735"/>
            <wp:effectExtent l="0" t="0" r="254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7"/>
                    <a:stretch>
                      <a:fillRect/>
                    </a:stretch>
                  </pic:blipFill>
                  <pic:spPr>
                    <a:xfrm>
                      <a:off x="0" y="0"/>
                      <a:ext cx="5274310" cy="2959735"/>
                    </a:xfrm>
                    <a:prstGeom prst="rect">
                      <a:avLst/>
                    </a:prstGeom>
                  </pic:spPr>
                </pic:pic>
              </a:graphicData>
            </a:graphic>
          </wp:inline>
        </w:drawing>
      </w:r>
    </w:p>
    <w:p>
      <w:pPr>
        <w:jc w:val="both"/>
        <w:rPr>
          <w:rFonts w:hint="default" w:ascii="仿宋" w:hAnsi="仿宋" w:eastAsia="仿宋"/>
          <w:sz w:val="28"/>
          <w:szCs w:val="32"/>
          <w:lang w:val="en-US" w:eastAsia="zh-CN"/>
        </w:rPr>
      </w:pPr>
      <w:r>
        <w:rPr>
          <w:rFonts w:hint="eastAsia" w:ascii="仿宋" w:hAnsi="仿宋" w:eastAsia="仿宋"/>
          <w:color w:val="auto"/>
          <w:sz w:val="28"/>
          <w:szCs w:val="32"/>
          <w:u w:val="none"/>
          <w:lang w:val="en-US" w:eastAsia="zh-CN"/>
        </w:rPr>
        <w:t>忘记账号密码，可电话联系或发送电子邮件到20190814@m.scnu.edu.cn</w:t>
      </w:r>
    </w:p>
    <w:p>
      <w:pPr>
        <w:rPr>
          <w:rFonts w:ascii="黑体" w:hAnsi="黑体" w:eastAsia="黑体"/>
          <w:sz w:val="28"/>
        </w:rPr>
      </w:pPr>
    </w:p>
    <w:p>
      <w:pPr>
        <w:rPr>
          <w:rFonts w:ascii="黑体" w:hAnsi="黑体" w:eastAsia="黑体"/>
          <w:sz w:val="28"/>
        </w:rPr>
      </w:pPr>
      <w:r>
        <w:rPr>
          <w:rFonts w:hint="eastAsia" w:ascii="黑体" w:hAnsi="黑体" w:eastAsia="黑体"/>
          <w:sz w:val="28"/>
        </w:rPr>
        <w:t>三、院校管理员审核同意</w:t>
      </w:r>
    </w:p>
    <w:p>
      <w:pPr>
        <w:widowControl/>
        <w:jc w:val="left"/>
        <w:rPr>
          <w:rFonts w:ascii="仿宋" w:hAnsi="仿宋" w:eastAsia="仿宋"/>
          <w:sz w:val="32"/>
          <w:szCs w:val="32"/>
        </w:rPr>
        <w:sectPr>
          <w:pgSz w:w="11906" w:h="16838"/>
          <w:pgMar w:top="2098" w:right="1474" w:bottom="1985" w:left="1588" w:header="851" w:footer="992" w:gutter="0"/>
          <w:cols w:space="425" w:num="1"/>
          <w:docGrid w:type="linesAndChars" w:linePitch="312" w:charSpace="0"/>
        </w:sectPr>
      </w:pPr>
      <w:r>
        <w:rPr>
          <w:rFonts w:ascii="黑体" w:hAnsi="黑体" w:eastAsia="黑体"/>
          <w:sz w:val="28"/>
        </w:rPr>
        <w:drawing>
          <wp:inline distT="0" distB="0" distL="0" distR="0">
            <wp:extent cx="5274310" cy="1216660"/>
            <wp:effectExtent l="0" t="0" r="2540"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1"/>
                    <a:stretch>
                      <a:fillRect/>
                    </a:stretch>
                  </pic:blipFill>
                  <pic:spPr>
                    <a:xfrm>
                      <a:off x="0" y="0"/>
                      <a:ext cx="5274310" cy="1216660"/>
                    </a:xfrm>
                    <a:prstGeom prst="rect">
                      <a:avLst/>
                    </a:prstGeom>
                  </pic:spPr>
                </pic:pic>
              </a:graphicData>
            </a:graphic>
          </wp:inline>
        </w:drawing>
      </w:r>
    </w:p>
    <w:p>
      <w:pPr>
        <w:widowControl/>
        <w:jc w:val="left"/>
        <w:rPr>
          <w:rFonts w:ascii="仿宋" w:hAnsi="仿宋" w:eastAsia="仿宋" w:cs="宋体"/>
          <w:kern w:val="0"/>
          <w:sz w:val="28"/>
          <w:szCs w:val="28"/>
        </w:rPr>
      </w:pPr>
      <w:r>
        <w:rPr>
          <w:rFonts w:hint="eastAsia" w:ascii="仿宋" w:hAnsi="仿宋" w:eastAsia="仿宋" w:cs="宋体"/>
          <w:kern w:val="0"/>
          <w:sz w:val="28"/>
          <w:szCs w:val="28"/>
        </w:rPr>
        <w:t>附件2：</w:t>
      </w:r>
    </w:p>
    <w:p>
      <w:pPr>
        <w:widowControl/>
        <w:shd w:val="clear" w:color="auto" w:fill="FFFFFF"/>
        <w:snapToGrid w:val="0"/>
        <w:spacing w:line="580" w:lineRule="exact"/>
        <w:ind w:firstLine="720" w:firstLineChars="200"/>
        <w:jc w:val="center"/>
        <w:rPr>
          <w:rFonts w:ascii="黑体" w:hAnsi="黑体" w:eastAsia="黑体" w:cs="宋体"/>
          <w:kern w:val="0"/>
          <w:sz w:val="36"/>
          <w:szCs w:val="36"/>
        </w:rPr>
      </w:pPr>
      <w:r>
        <w:rPr>
          <w:rFonts w:hint="eastAsia" w:ascii="黑体" w:hAnsi="黑体" w:eastAsia="黑体" w:cs="宋体"/>
          <w:kern w:val="0"/>
          <w:sz w:val="36"/>
          <w:szCs w:val="36"/>
        </w:rPr>
        <w:t>广东高校思想政治工作优秀案例评优活动汇总表</w:t>
      </w:r>
    </w:p>
    <w:p>
      <w:pPr>
        <w:widowControl/>
        <w:shd w:val="clear" w:color="auto" w:fill="FFFFFF"/>
        <w:snapToGrid w:val="0"/>
        <w:spacing w:line="580" w:lineRule="exact"/>
        <w:jc w:val="left"/>
        <w:rPr>
          <w:rFonts w:ascii="黑体" w:hAnsi="黑体" w:eastAsia="黑体" w:cs="宋体"/>
          <w:kern w:val="0"/>
          <w:sz w:val="28"/>
          <w:szCs w:val="40"/>
        </w:rPr>
      </w:pPr>
      <w:r>
        <w:rPr>
          <w:rFonts w:hint="eastAsia" w:ascii="黑体" w:hAnsi="黑体" w:eastAsia="黑体" w:cs="宋体"/>
          <w:kern w:val="0"/>
          <w:sz w:val="28"/>
          <w:szCs w:val="40"/>
        </w:rPr>
        <w:t>报送单位（盖章）</w:t>
      </w:r>
    </w:p>
    <w:tbl>
      <w:tblPr>
        <w:tblStyle w:val="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4305"/>
        <w:gridCol w:w="4662"/>
        <w:gridCol w:w="1275"/>
        <w:gridCol w:w="2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序号</w:t>
            </w:r>
          </w:p>
        </w:tc>
        <w:tc>
          <w:tcPr>
            <w:tcW w:w="1600"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作者姓名（需准确填写全部作者姓名）</w:t>
            </w:r>
          </w:p>
        </w:tc>
        <w:tc>
          <w:tcPr>
            <w:tcW w:w="1733"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案例标题（含副标题）</w:t>
            </w:r>
          </w:p>
        </w:tc>
        <w:tc>
          <w:tcPr>
            <w:tcW w:w="474"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文章字数</w:t>
            </w:r>
          </w:p>
        </w:tc>
        <w:tc>
          <w:tcPr>
            <w:tcW w:w="914"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是否工作室推荐案例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1</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2</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3</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4</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5</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6</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7</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8</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9</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10</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11</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12</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13</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14</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vAlign w:val="center"/>
          </w:tcPr>
          <w:p>
            <w:pPr>
              <w:widowControl/>
              <w:snapToGrid w:val="0"/>
              <w:spacing w:line="580" w:lineRule="exact"/>
              <w:jc w:val="center"/>
              <w:rPr>
                <w:rFonts w:ascii="黑体" w:hAnsi="黑体" w:eastAsia="黑体" w:cs="宋体"/>
                <w:kern w:val="0"/>
                <w:sz w:val="24"/>
                <w:szCs w:val="36"/>
              </w:rPr>
            </w:pPr>
            <w:r>
              <w:rPr>
                <w:rFonts w:hint="eastAsia" w:ascii="黑体" w:hAnsi="黑体" w:eastAsia="黑体" w:cs="宋体"/>
                <w:kern w:val="0"/>
                <w:sz w:val="24"/>
                <w:szCs w:val="36"/>
              </w:rPr>
              <w:t>15</w:t>
            </w:r>
          </w:p>
        </w:tc>
        <w:tc>
          <w:tcPr>
            <w:tcW w:w="1600" w:type="pct"/>
          </w:tcPr>
          <w:p>
            <w:pPr>
              <w:widowControl/>
              <w:snapToGrid w:val="0"/>
              <w:spacing w:line="580" w:lineRule="exact"/>
              <w:jc w:val="left"/>
              <w:rPr>
                <w:rFonts w:ascii="黑体" w:hAnsi="黑体" w:eastAsia="黑体" w:cs="宋体"/>
                <w:kern w:val="0"/>
                <w:sz w:val="24"/>
                <w:szCs w:val="36"/>
              </w:rPr>
            </w:pPr>
          </w:p>
        </w:tc>
        <w:tc>
          <w:tcPr>
            <w:tcW w:w="1733" w:type="pct"/>
          </w:tcPr>
          <w:p>
            <w:pPr>
              <w:widowControl/>
              <w:snapToGrid w:val="0"/>
              <w:spacing w:line="580" w:lineRule="exact"/>
              <w:jc w:val="left"/>
              <w:rPr>
                <w:rFonts w:ascii="黑体" w:hAnsi="黑体" w:eastAsia="黑体" w:cs="宋体"/>
                <w:kern w:val="0"/>
                <w:sz w:val="24"/>
                <w:szCs w:val="36"/>
              </w:rPr>
            </w:pPr>
          </w:p>
        </w:tc>
        <w:tc>
          <w:tcPr>
            <w:tcW w:w="474" w:type="pct"/>
          </w:tcPr>
          <w:p>
            <w:pPr>
              <w:widowControl/>
              <w:snapToGrid w:val="0"/>
              <w:spacing w:line="580" w:lineRule="exact"/>
              <w:jc w:val="left"/>
              <w:rPr>
                <w:rFonts w:ascii="黑体" w:hAnsi="黑体" w:eastAsia="黑体" w:cs="宋体"/>
                <w:kern w:val="0"/>
                <w:sz w:val="24"/>
                <w:szCs w:val="36"/>
              </w:rPr>
            </w:pPr>
          </w:p>
        </w:tc>
        <w:tc>
          <w:tcPr>
            <w:tcW w:w="914" w:type="pct"/>
          </w:tcPr>
          <w:p>
            <w:pPr>
              <w:widowControl/>
              <w:snapToGrid w:val="0"/>
              <w:spacing w:line="580" w:lineRule="exact"/>
              <w:jc w:val="left"/>
              <w:rPr>
                <w:rFonts w:ascii="黑体" w:hAnsi="黑体" w:eastAsia="黑体" w:cs="宋体"/>
                <w:kern w:val="0"/>
                <w:sz w:val="24"/>
                <w:szCs w:val="36"/>
              </w:rPr>
            </w:pPr>
          </w:p>
        </w:tc>
      </w:tr>
    </w:tbl>
    <w:p>
      <w:pPr>
        <w:widowControl/>
        <w:shd w:val="clear" w:color="auto" w:fill="FFFFFF"/>
        <w:snapToGrid w:val="0"/>
        <w:spacing w:line="580" w:lineRule="exact"/>
        <w:jc w:val="left"/>
        <w:rPr>
          <w:rFonts w:ascii="黑体" w:hAnsi="黑体" w:eastAsia="黑体" w:cs="宋体"/>
          <w:kern w:val="0"/>
          <w:sz w:val="24"/>
          <w:szCs w:val="36"/>
        </w:rPr>
      </w:pPr>
      <w:r>
        <w:rPr>
          <w:rFonts w:hint="eastAsia" w:ascii="黑体" w:hAnsi="黑体" w:eastAsia="黑体" w:cs="宋体"/>
          <w:kern w:val="0"/>
          <w:sz w:val="24"/>
          <w:szCs w:val="36"/>
        </w:rPr>
        <w:t>报送人信息：</w:t>
      </w:r>
    </w:p>
    <w:tbl>
      <w:tblPr>
        <w:tblStyle w:val="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2"/>
        <w:gridCol w:w="4173"/>
        <w:gridCol w:w="3363"/>
        <w:gridCol w:w="3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5" w:type="pct"/>
          </w:tcPr>
          <w:p>
            <w:pPr>
              <w:ind w:right="960"/>
              <w:jc w:val="left"/>
              <w:rPr>
                <w:rFonts w:ascii="仿宋" w:hAnsi="仿宋" w:eastAsia="仿宋"/>
                <w:sz w:val="32"/>
                <w:szCs w:val="32"/>
              </w:rPr>
            </w:pPr>
            <w:r>
              <w:rPr>
                <w:rFonts w:hint="eastAsia" w:ascii="仿宋" w:hAnsi="仿宋" w:eastAsia="仿宋"/>
                <w:sz w:val="32"/>
                <w:szCs w:val="32"/>
              </w:rPr>
              <w:t>姓名</w:t>
            </w:r>
          </w:p>
        </w:tc>
        <w:tc>
          <w:tcPr>
            <w:tcW w:w="1551" w:type="pct"/>
          </w:tcPr>
          <w:p>
            <w:pPr>
              <w:ind w:right="960"/>
              <w:jc w:val="left"/>
              <w:rPr>
                <w:rFonts w:ascii="仿宋" w:hAnsi="仿宋" w:eastAsia="仿宋"/>
                <w:sz w:val="32"/>
                <w:szCs w:val="32"/>
              </w:rPr>
            </w:pPr>
          </w:p>
        </w:tc>
        <w:tc>
          <w:tcPr>
            <w:tcW w:w="1250" w:type="pct"/>
          </w:tcPr>
          <w:p>
            <w:pPr>
              <w:ind w:right="960"/>
              <w:jc w:val="left"/>
              <w:rPr>
                <w:rFonts w:ascii="仿宋" w:hAnsi="仿宋" w:eastAsia="仿宋"/>
                <w:sz w:val="32"/>
                <w:szCs w:val="32"/>
              </w:rPr>
            </w:pPr>
            <w:r>
              <w:rPr>
                <w:rFonts w:hint="eastAsia" w:ascii="仿宋" w:hAnsi="仿宋" w:eastAsia="仿宋"/>
                <w:sz w:val="32"/>
                <w:szCs w:val="32"/>
              </w:rPr>
              <w:t>职务</w:t>
            </w:r>
          </w:p>
        </w:tc>
        <w:tc>
          <w:tcPr>
            <w:tcW w:w="1252" w:type="pct"/>
          </w:tcPr>
          <w:p>
            <w:pPr>
              <w:ind w:right="960"/>
              <w:jc w:val="left"/>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pct"/>
          </w:tcPr>
          <w:p>
            <w:pPr>
              <w:ind w:right="960"/>
              <w:jc w:val="left"/>
              <w:rPr>
                <w:rFonts w:ascii="仿宋" w:hAnsi="仿宋" w:eastAsia="仿宋"/>
                <w:sz w:val="32"/>
                <w:szCs w:val="32"/>
              </w:rPr>
            </w:pPr>
            <w:r>
              <w:rPr>
                <w:rFonts w:hint="eastAsia" w:ascii="仿宋" w:hAnsi="仿宋" w:eastAsia="仿宋"/>
                <w:sz w:val="32"/>
                <w:szCs w:val="32"/>
              </w:rPr>
              <w:t>联系方式</w:t>
            </w:r>
          </w:p>
        </w:tc>
        <w:tc>
          <w:tcPr>
            <w:tcW w:w="1551" w:type="pct"/>
          </w:tcPr>
          <w:p>
            <w:pPr>
              <w:ind w:right="960"/>
              <w:jc w:val="left"/>
              <w:rPr>
                <w:rFonts w:ascii="仿宋" w:hAnsi="仿宋" w:eastAsia="仿宋"/>
                <w:sz w:val="32"/>
                <w:szCs w:val="32"/>
              </w:rPr>
            </w:pPr>
          </w:p>
        </w:tc>
        <w:tc>
          <w:tcPr>
            <w:tcW w:w="1250" w:type="pct"/>
          </w:tcPr>
          <w:p>
            <w:pPr>
              <w:ind w:right="960"/>
              <w:jc w:val="left"/>
              <w:rPr>
                <w:rFonts w:ascii="仿宋" w:hAnsi="仿宋" w:eastAsia="仿宋"/>
                <w:sz w:val="32"/>
                <w:szCs w:val="32"/>
              </w:rPr>
            </w:pPr>
            <w:r>
              <w:rPr>
                <w:rFonts w:hint="eastAsia" w:ascii="仿宋" w:hAnsi="仿宋" w:eastAsia="仿宋"/>
                <w:sz w:val="32"/>
                <w:szCs w:val="32"/>
              </w:rPr>
              <w:t>邮箱</w:t>
            </w:r>
          </w:p>
        </w:tc>
        <w:tc>
          <w:tcPr>
            <w:tcW w:w="1252" w:type="pct"/>
          </w:tcPr>
          <w:p>
            <w:pPr>
              <w:ind w:right="960"/>
              <w:jc w:val="left"/>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pct"/>
          </w:tcPr>
          <w:p>
            <w:pPr>
              <w:ind w:right="960"/>
              <w:jc w:val="left"/>
              <w:rPr>
                <w:rFonts w:ascii="仿宋" w:hAnsi="仿宋" w:eastAsia="仿宋"/>
                <w:sz w:val="32"/>
                <w:szCs w:val="32"/>
              </w:rPr>
            </w:pPr>
            <w:r>
              <w:rPr>
                <w:rFonts w:hint="eastAsia" w:ascii="仿宋" w:hAnsi="仿宋" w:eastAsia="仿宋"/>
                <w:sz w:val="32"/>
                <w:szCs w:val="32"/>
              </w:rPr>
              <w:t>地址</w:t>
            </w:r>
          </w:p>
        </w:tc>
        <w:tc>
          <w:tcPr>
            <w:tcW w:w="4054" w:type="pct"/>
            <w:gridSpan w:val="3"/>
          </w:tcPr>
          <w:p>
            <w:pPr>
              <w:ind w:right="960"/>
              <w:jc w:val="left"/>
              <w:rPr>
                <w:rFonts w:ascii="仿宋" w:hAnsi="仿宋" w:eastAsia="仿宋"/>
                <w:sz w:val="32"/>
                <w:szCs w:val="32"/>
              </w:rPr>
            </w:pPr>
          </w:p>
        </w:tc>
      </w:tr>
    </w:tbl>
    <w:p>
      <w:pPr>
        <w:ind w:right="960"/>
        <w:jc w:val="left"/>
        <w:rPr>
          <w:rFonts w:ascii="仿宋" w:hAnsi="仿宋" w:eastAsia="仿宋"/>
          <w:sz w:val="32"/>
          <w:szCs w:val="32"/>
        </w:rPr>
      </w:pPr>
    </w:p>
    <w:p>
      <w:pPr>
        <w:ind w:right="960"/>
        <w:jc w:val="left"/>
        <w:rPr>
          <w:rFonts w:ascii="仿宋" w:hAnsi="仿宋" w:eastAsia="仿宋"/>
          <w:sz w:val="28"/>
          <w:szCs w:val="28"/>
        </w:rPr>
        <w:sectPr>
          <w:pgSz w:w="16838" w:h="11906" w:orient="landscape"/>
          <w:pgMar w:top="1440" w:right="1800" w:bottom="1440" w:left="1800" w:header="851" w:footer="992" w:gutter="0"/>
          <w:cols w:space="425" w:num="1"/>
          <w:docGrid w:type="lines" w:linePitch="312" w:charSpace="0"/>
        </w:sectPr>
      </w:pPr>
      <w:r>
        <w:rPr>
          <w:rFonts w:hint="eastAsia" w:ascii="仿宋" w:hAnsi="仿宋" w:eastAsia="仿宋"/>
          <w:sz w:val="28"/>
          <w:szCs w:val="28"/>
        </w:rPr>
        <w:t>注：工作室申报案例需填写至汇总表汇总提交，可自行增加汇总表行数填写。</w:t>
      </w:r>
    </w:p>
    <w:p>
      <w:pPr>
        <w:widowControl/>
        <w:spacing w:line="440" w:lineRule="exact"/>
        <w:jc w:val="left"/>
        <w:rPr>
          <w:rFonts w:ascii="方正小标宋简体" w:hAnsi="宋体" w:eastAsia="方正小标宋简体" w:cs="宋体"/>
          <w:color w:val="333333"/>
          <w:kern w:val="0"/>
          <w:sz w:val="28"/>
          <w:szCs w:val="24"/>
        </w:rPr>
      </w:pPr>
      <w:r>
        <w:rPr>
          <w:rFonts w:hint="eastAsia" w:ascii="方正小标宋简体" w:hAnsi="宋体" w:eastAsia="方正小标宋简体" w:cs="宋体"/>
          <w:color w:val="333333"/>
          <w:kern w:val="0"/>
          <w:sz w:val="28"/>
          <w:szCs w:val="24"/>
        </w:rPr>
        <w:t>附件3：</w:t>
      </w:r>
    </w:p>
    <w:p>
      <w:pPr>
        <w:widowControl/>
        <w:spacing w:line="440" w:lineRule="exact"/>
        <w:jc w:val="center"/>
        <w:rPr>
          <w:rFonts w:ascii="宋体" w:hAnsi="宋体" w:eastAsia="宋体" w:cs="宋体"/>
          <w:color w:val="333333"/>
          <w:kern w:val="0"/>
          <w:szCs w:val="21"/>
        </w:rPr>
      </w:pPr>
      <w:r>
        <w:rPr>
          <w:rFonts w:hint="eastAsia" w:ascii="方正小标宋简体" w:hAnsi="宋体" w:eastAsia="方正小标宋简体" w:cs="宋体"/>
          <w:color w:val="333333"/>
          <w:kern w:val="0"/>
          <w:sz w:val="28"/>
          <w:szCs w:val="24"/>
        </w:rPr>
        <w:t>学生工作案例格式要求</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每个案例3000-5000字，切口要小，剖析要深，语言简练，全文行距22磅，具体板块构成及格式要求如下：</w:t>
      </w:r>
    </w:p>
    <w:p>
      <w:pPr>
        <w:widowControl/>
        <w:spacing w:line="440" w:lineRule="exact"/>
        <w:ind w:left="480" w:hanging="480"/>
        <w:jc w:val="left"/>
        <w:rPr>
          <w:rFonts w:ascii="仿宋" w:hAnsi="仿宋" w:eastAsia="仿宋" w:cs="仿宋"/>
          <w:color w:val="333333"/>
          <w:kern w:val="0"/>
          <w:sz w:val="24"/>
          <w:szCs w:val="24"/>
        </w:rPr>
      </w:pPr>
      <w:r>
        <w:rPr>
          <w:rFonts w:hint="eastAsia" w:ascii="仿宋" w:hAnsi="仿宋" w:eastAsia="仿宋" w:cs="仿宋"/>
          <w:b/>
          <w:color w:val="333333"/>
          <w:kern w:val="0"/>
          <w:sz w:val="24"/>
          <w:szCs w:val="24"/>
        </w:rPr>
        <w:t>一、    标题</w:t>
      </w:r>
    </w:p>
    <w:p>
      <w:pPr>
        <w:widowControl/>
        <w:spacing w:line="440" w:lineRule="exact"/>
        <w:ind w:left="480"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大标题：黑体、四号</w:t>
      </w:r>
    </w:p>
    <w:p>
      <w:pPr>
        <w:widowControl/>
        <w:spacing w:line="440" w:lineRule="exact"/>
        <w:ind w:left="96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副标题：仿宋体、小四号</w:t>
      </w:r>
    </w:p>
    <w:p>
      <w:pPr>
        <w:widowControl/>
        <w:spacing w:line="440" w:lineRule="exact"/>
        <w:ind w:left="96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作者信息（部门、姓名、职务（本科生/研究生辅导员） ）：仿宋体、五号</w:t>
      </w:r>
    </w:p>
    <w:p>
      <w:pPr>
        <w:widowControl/>
        <w:spacing w:line="440" w:lineRule="exact"/>
        <w:ind w:left="720" w:hanging="720"/>
        <w:jc w:val="left"/>
        <w:rPr>
          <w:rFonts w:ascii="仿宋" w:hAnsi="仿宋" w:eastAsia="仿宋" w:cs="仿宋"/>
          <w:color w:val="333333"/>
          <w:kern w:val="0"/>
          <w:sz w:val="24"/>
          <w:szCs w:val="24"/>
        </w:rPr>
      </w:pPr>
      <w:r>
        <w:rPr>
          <w:rFonts w:hint="eastAsia" w:ascii="仿宋" w:hAnsi="仿宋" w:eastAsia="仿宋" w:cs="仿宋"/>
          <w:b/>
          <w:color w:val="333333"/>
          <w:kern w:val="0"/>
          <w:sz w:val="24"/>
          <w:szCs w:val="24"/>
        </w:rPr>
        <w:t>二、   正文部分</w:t>
      </w:r>
    </w:p>
    <w:p>
      <w:pPr>
        <w:widowControl/>
        <w:spacing w:line="440" w:lineRule="exact"/>
        <w:ind w:firstLine="482" w:firstLineChars="200"/>
        <w:jc w:val="left"/>
        <w:rPr>
          <w:rFonts w:ascii="仿宋" w:hAnsi="仿宋" w:eastAsia="仿宋" w:cs="仿宋"/>
          <w:color w:val="333333"/>
          <w:kern w:val="0"/>
          <w:sz w:val="24"/>
          <w:szCs w:val="24"/>
        </w:rPr>
      </w:pPr>
      <w:r>
        <w:rPr>
          <w:rFonts w:hint="eastAsia" w:ascii="仿宋" w:hAnsi="仿宋" w:eastAsia="仿宋" w:cs="仿宋"/>
          <w:b/>
          <w:color w:val="333333"/>
          <w:kern w:val="0"/>
          <w:sz w:val="24"/>
          <w:szCs w:val="24"/>
        </w:rPr>
        <w:t>第一部分：案例概述分析</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内容要求：提出问题。以凝练语言概述案例前因后果。</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标题：</w:t>
      </w:r>
      <w:r>
        <w:rPr>
          <w:rFonts w:hint="eastAsia" w:ascii="仿宋" w:hAnsi="仿宋" w:eastAsia="仿宋" w:cs="仿宋"/>
          <w:b/>
          <w:color w:val="333333"/>
          <w:kern w:val="0"/>
          <w:sz w:val="24"/>
          <w:szCs w:val="24"/>
        </w:rPr>
        <w:t>【案例概述分析】  仿宋、四号、加粗、加【】、居中</w:t>
      </w:r>
    </w:p>
    <w:p>
      <w:pPr>
        <w:widowControl/>
        <w:spacing w:line="288" w:lineRule="auto"/>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正文标题（举例）：</w:t>
      </w:r>
    </w:p>
    <w:p>
      <w:pPr>
        <w:widowControl/>
        <w:spacing w:line="288" w:lineRule="auto"/>
        <w:ind w:firstLine="960" w:firstLineChars="4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一级标题：</w:t>
      </w:r>
      <w:r>
        <w:rPr>
          <w:rFonts w:hint="eastAsia" w:ascii="仿宋" w:hAnsi="仿宋" w:eastAsia="仿宋" w:cs="仿宋"/>
          <w:b/>
          <w:color w:val="333333"/>
          <w:kern w:val="0"/>
          <w:sz w:val="24"/>
          <w:szCs w:val="24"/>
        </w:rPr>
        <w:t>一、加强学习，增加开展教育的勇气</w:t>
      </w:r>
    </w:p>
    <w:p>
      <w:pPr>
        <w:widowControl/>
        <w:spacing w:line="288" w:lineRule="auto"/>
        <w:ind w:firstLine="2040" w:firstLineChars="85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（仿宋，小四号，加粗，单独成行，末尾不加标点）</w:t>
      </w:r>
    </w:p>
    <w:p>
      <w:pPr>
        <w:widowControl/>
        <w:spacing w:line="288" w:lineRule="auto"/>
        <w:ind w:firstLine="960" w:firstLineChars="4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二级标题：（一）加强学习，增加开展教育的勇气</w:t>
      </w:r>
    </w:p>
    <w:p>
      <w:pPr>
        <w:widowControl/>
        <w:spacing w:line="288" w:lineRule="auto"/>
        <w:ind w:firstLine="2040" w:firstLineChars="85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（仿宋，小四号，单独成行，末尾不加标点）</w:t>
      </w:r>
    </w:p>
    <w:p>
      <w:pPr>
        <w:widowControl/>
        <w:spacing w:line="288" w:lineRule="auto"/>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 xml:space="preserve">    三级标题：1.加强学习，增加开展教育的勇气。</w:t>
      </w:r>
    </w:p>
    <w:p>
      <w:pPr>
        <w:widowControl/>
        <w:spacing w:line="288" w:lineRule="auto"/>
        <w:ind w:firstLine="2040" w:firstLineChars="85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（仿宋、小四号、不单独成行）</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正文：仿宋、小四号、行距22磅</w:t>
      </w:r>
    </w:p>
    <w:p>
      <w:pPr>
        <w:widowControl/>
        <w:spacing w:line="440" w:lineRule="exact"/>
        <w:ind w:firstLine="482" w:firstLineChars="200"/>
        <w:jc w:val="left"/>
        <w:rPr>
          <w:rFonts w:ascii="仿宋" w:hAnsi="仿宋" w:eastAsia="仿宋" w:cs="仿宋"/>
          <w:color w:val="333333"/>
          <w:kern w:val="0"/>
          <w:sz w:val="24"/>
          <w:szCs w:val="24"/>
        </w:rPr>
      </w:pPr>
      <w:r>
        <w:rPr>
          <w:rFonts w:hint="eastAsia" w:ascii="仿宋" w:hAnsi="仿宋" w:eastAsia="仿宋" w:cs="仿宋"/>
          <w:b/>
          <w:color w:val="333333"/>
          <w:kern w:val="0"/>
          <w:sz w:val="24"/>
          <w:szCs w:val="24"/>
        </w:rPr>
        <w:t>第二部分：案例解决方案</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内容要求：分析问题和解决问题。深入剖析问题，找出问题产生的原因，并提出行之有效的具体解决方案，要凸显辅导员工作中的核心知识与核心技能。</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标题：</w:t>
      </w:r>
      <w:r>
        <w:rPr>
          <w:rFonts w:hint="eastAsia" w:ascii="仿宋" w:hAnsi="仿宋" w:eastAsia="仿宋" w:cs="仿宋"/>
          <w:b/>
          <w:color w:val="333333"/>
          <w:kern w:val="0"/>
          <w:sz w:val="24"/>
          <w:szCs w:val="24"/>
        </w:rPr>
        <w:t>【案例解决方案】仿宋、四号、加粗、加【】、居中</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 xml:space="preserve">正文标题（举例）：  </w:t>
      </w:r>
    </w:p>
    <w:p>
      <w:pPr>
        <w:widowControl/>
        <w:spacing w:line="288" w:lineRule="auto"/>
        <w:ind w:firstLine="960" w:firstLineChars="4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一级标题：</w:t>
      </w:r>
      <w:r>
        <w:rPr>
          <w:rFonts w:hint="eastAsia" w:ascii="仿宋" w:hAnsi="仿宋" w:eastAsia="仿宋" w:cs="仿宋"/>
          <w:b/>
          <w:color w:val="333333"/>
          <w:kern w:val="0"/>
          <w:sz w:val="24"/>
          <w:szCs w:val="24"/>
        </w:rPr>
        <w:t>一、加强学习，增加开展教育的勇气</w:t>
      </w:r>
    </w:p>
    <w:p>
      <w:pPr>
        <w:widowControl/>
        <w:spacing w:line="288" w:lineRule="auto"/>
        <w:ind w:firstLine="2040" w:firstLineChars="85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（仿宋，小四号，加粗，单独成行，末尾不加标点）</w:t>
      </w:r>
    </w:p>
    <w:p>
      <w:pPr>
        <w:widowControl/>
        <w:spacing w:line="288" w:lineRule="auto"/>
        <w:ind w:firstLine="960" w:firstLineChars="4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二级标题：（一）加强学习，增加开展教育的勇气</w:t>
      </w:r>
    </w:p>
    <w:p>
      <w:pPr>
        <w:widowControl/>
        <w:spacing w:line="288" w:lineRule="auto"/>
        <w:ind w:firstLine="2040" w:firstLineChars="85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（仿宋，小四号，单独成行，末尾不加标点）</w:t>
      </w:r>
    </w:p>
    <w:p>
      <w:pPr>
        <w:widowControl/>
        <w:spacing w:line="288" w:lineRule="auto"/>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 xml:space="preserve">    三级标题：1.加强学习，增加开展教育的勇气。</w:t>
      </w:r>
    </w:p>
    <w:p>
      <w:pPr>
        <w:widowControl/>
        <w:spacing w:line="288" w:lineRule="auto"/>
        <w:ind w:firstLine="2040" w:firstLineChars="85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（仿宋、小四号、不单独成行）</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正文：仿宋、小四号、行距22磅</w:t>
      </w:r>
    </w:p>
    <w:p>
      <w:pPr>
        <w:widowControl/>
        <w:spacing w:line="440" w:lineRule="exact"/>
        <w:ind w:firstLine="482" w:firstLineChars="200"/>
        <w:jc w:val="left"/>
        <w:rPr>
          <w:rFonts w:ascii="仿宋" w:hAnsi="仿宋" w:eastAsia="仿宋" w:cs="仿宋"/>
          <w:color w:val="333333"/>
          <w:kern w:val="0"/>
          <w:sz w:val="24"/>
          <w:szCs w:val="24"/>
        </w:rPr>
      </w:pPr>
      <w:r>
        <w:rPr>
          <w:rFonts w:hint="eastAsia" w:ascii="仿宋" w:hAnsi="仿宋" w:eastAsia="仿宋" w:cs="仿宋"/>
          <w:b/>
          <w:color w:val="333333"/>
          <w:kern w:val="0"/>
          <w:sz w:val="24"/>
          <w:szCs w:val="24"/>
        </w:rPr>
        <w:t>第三部分：经验与启示</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内容要求：从个案中提炼和揭示此类事件所蕴含的一般规律，为今后在处理相关类别事件时提供有益启示和有效建议。</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标题：</w:t>
      </w:r>
      <w:r>
        <w:rPr>
          <w:rFonts w:hint="eastAsia" w:ascii="仿宋" w:hAnsi="仿宋" w:eastAsia="仿宋" w:cs="仿宋"/>
          <w:b/>
          <w:color w:val="333333"/>
          <w:kern w:val="0"/>
          <w:sz w:val="24"/>
          <w:szCs w:val="24"/>
        </w:rPr>
        <w:t>【经验与启示】 仿宋、四号、加粗、加【】、居中</w:t>
      </w:r>
    </w:p>
    <w:p>
      <w:pPr>
        <w:widowControl/>
        <w:spacing w:line="288" w:lineRule="auto"/>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 xml:space="preserve">正文标题（举例）：  </w:t>
      </w:r>
    </w:p>
    <w:p>
      <w:pPr>
        <w:widowControl/>
        <w:spacing w:line="288" w:lineRule="auto"/>
        <w:ind w:firstLine="960" w:firstLineChars="4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一级标题：</w:t>
      </w:r>
      <w:r>
        <w:rPr>
          <w:rFonts w:hint="eastAsia" w:ascii="仿宋" w:hAnsi="仿宋" w:eastAsia="仿宋" w:cs="仿宋"/>
          <w:b/>
          <w:color w:val="333333"/>
          <w:kern w:val="0"/>
          <w:sz w:val="24"/>
          <w:szCs w:val="24"/>
        </w:rPr>
        <w:t>一、加强学习，增加开展教育的勇气</w:t>
      </w:r>
    </w:p>
    <w:p>
      <w:pPr>
        <w:widowControl/>
        <w:spacing w:line="288" w:lineRule="auto"/>
        <w:ind w:firstLine="2040" w:firstLineChars="85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（仿宋，小四号，加粗，单独成行，末尾不加标点）</w:t>
      </w:r>
    </w:p>
    <w:p>
      <w:pPr>
        <w:widowControl/>
        <w:spacing w:line="288" w:lineRule="auto"/>
        <w:ind w:firstLine="960" w:firstLineChars="4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二级标题：（一）加强学习，增加开展教育的勇气</w:t>
      </w:r>
    </w:p>
    <w:p>
      <w:pPr>
        <w:widowControl/>
        <w:spacing w:line="288" w:lineRule="auto"/>
        <w:ind w:firstLine="2040" w:firstLineChars="85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（仿宋，小四号，单独成行，末尾不加标点）</w:t>
      </w:r>
    </w:p>
    <w:p>
      <w:pPr>
        <w:widowControl/>
        <w:spacing w:line="288" w:lineRule="auto"/>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 xml:space="preserve">    三级标题：1.加强学习，增加开展教育的勇气。</w:t>
      </w:r>
    </w:p>
    <w:p>
      <w:pPr>
        <w:widowControl/>
        <w:spacing w:line="288" w:lineRule="auto"/>
        <w:ind w:firstLine="2040" w:firstLineChars="85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（仿宋、小四号、不单独成行）</w:t>
      </w:r>
    </w:p>
    <w:p>
      <w:pPr>
        <w:widowControl/>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正文：仿宋、小四号、行距22磅</w:t>
      </w:r>
    </w:p>
    <w:p>
      <w:pPr>
        <w:widowControl/>
        <w:spacing w:line="440" w:lineRule="exact"/>
        <w:ind w:firstLine="482" w:firstLineChars="200"/>
        <w:jc w:val="left"/>
        <w:rPr>
          <w:rFonts w:ascii="仿宋" w:hAnsi="仿宋" w:eastAsia="仿宋" w:cs="仿宋"/>
          <w:color w:val="333333"/>
          <w:kern w:val="0"/>
          <w:sz w:val="24"/>
          <w:szCs w:val="24"/>
        </w:rPr>
      </w:pPr>
      <w:r>
        <w:rPr>
          <w:rFonts w:hint="eastAsia" w:ascii="仿宋" w:hAnsi="仿宋" w:eastAsia="仿宋" w:cs="仿宋"/>
          <w:b/>
          <w:color w:val="333333"/>
          <w:kern w:val="0"/>
          <w:sz w:val="24"/>
          <w:szCs w:val="24"/>
        </w:rPr>
        <w:t>第四部分：资源链接</w:t>
      </w:r>
    </w:p>
    <w:p>
      <w:pPr>
        <w:widowControl/>
        <w:adjustRightInd w:val="0"/>
        <w:snapToGrid w:val="0"/>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内容要求：案例处理中涉及到的相关资料、法律法规。</w:t>
      </w:r>
    </w:p>
    <w:p>
      <w:pPr>
        <w:widowControl/>
        <w:adjustRightInd w:val="0"/>
        <w:snapToGrid w:val="0"/>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标题：</w:t>
      </w:r>
      <w:r>
        <w:rPr>
          <w:rFonts w:hint="eastAsia" w:ascii="仿宋" w:hAnsi="仿宋" w:eastAsia="仿宋" w:cs="仿宋"/>
          <w:b/>
          <w:color w:val="333333"/>
          <w:kern w:val="0"/>
          <w:sz w:val="24"/>
          <w:szCs w:val="24"/>
        </w:rPr>
        <w:t>【资源链接】  仿宋、四号、加粗、加【】、居中</w:t>
      </w:r>
    </w:p>
    <w:p>
      <w:pPr>
        <w:widowControl/>
        <w:adjustRightInd w:val="0"/>
        <w:snapToGrid w:val="0"/>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排列顺序及格式：仿宋、小四号、行距22磅</w:t>
      </w:r>
    </w:p>
    <w:p>
      <w:pPr>
        <w:widowControl/>
        <w:adjustRightInd w:val="0"/>
        <w:snapToGrid w:val="0"/>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相关法律  举例：《中华人民共和国突发事件应对法》</w:t>
      </w:r>
    </w:p>
    <w:p>
      <w:pPr>
        <w:widowControl/>
        <w:adjustRightInd w:val="0"/>
        <w:snapToGrid w:val="0"/>
        <w:spacing w:line="440" w:lineRule="exact"/>
        <w:ind w:firstLine="480" w:firstLineChars="200"/>
        <w:jc w:val="left"/>
        <w:rPr>
          <w:rFonts w:ascii="仿宋" w:hAnsi="仿宋" w:eastAsia="仿宋" w:cs="仿宋"/>
          <w:color w:val="333333"/>
          <w:spacing w:val="-4"/>
          <w:kern w:val="0"/>
          <w:sz w:val="24"/>
          <w:szCs w:val="24"/>
        </w:rPr>
      </w:pPr>
      <w:r>
        <w:rPr>
          <w:rFonts w:hint="eastAsia" w:ascii="仿宋" w:hAnsi="仿宋" w:eastAsia="仿宋" w:cs="仿宋"/>
          <w:color w:val="333333"/>
          <w:kern w:val="0"/>
          <w:sz w:val="24"/>
          <w:szCs w:val="24"/>
        </w:rPr>
        <w:t xml:space="preserve">相关规定 </w:t>
      </w:r>
      <w:r>
        <w:rPr>
          <w:rFonts w:hint="eastAsia" w:ascii="仿宋" w:hAnsi="仿宋" w:eastAsia="仿宋" w:cs="仿宋"/>
          <w:color w:val="333333"/>
          <w:spacing w:val="-4"/>
          <w:kern w:val="0"/>
          <w:sz w:val="24"/>
          <w:szCs w:val="24"/>
        </w:rPr>
        <w:t xml:space="preserve"> 举例：《普通高等学校辅导员队伍建设规定》（教育部令第24号）</w:t>
      </w:r>
    </w:p>
    <w:p>
      <w:pPr>
        <w:widowControl/>
        <w:adjustRightInd w:val="0"/>
        <w:snapToGrid w:val="0"/>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相关讲话  举例：《胡锦涛在庆祝清华大学建校100周年大会上的讲话》</w:t>
      </w:r>
    </w:p>
    <w:p>
      <w:pPr>
        <w:widowControl/>
        <w:adjustRightInd w:val="0"/>
        <w:snapToGrid w:val="0"/>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相关文件  举例：《中共中央办公厅、国务院办公厅关于深入开展民族团结教育活动的意见》（中发办[2009]34号)</w:t>
      </w:r>
    </w:p>
    <w:p>
      <w:pPr>
        <w:widowControl/>
        <w:adjustRightInd w:val="0"/>
        <w:snapToGrid w:val="0"/>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相关资料  举例：王小红著.高校辅导员工作的理论与实践[M].北京：</w:t>
      </w:r>
      <w:r>
        <w:fldChar w:fldCharType="begin"/>
      </w:r>
      <w:r>
        <w:instrText xml:space="preserve"> HYPERLINK "http://baike.baidu.com/view/49618.htm" \t "_blank" </w:instrText>
      </w:r>
      <w:r>
        <w:fldChar w:fldCharType="separate"/>
      </w:r>
      <w:r>
        <w:rPr>
          <w:rFonts w:hint="eastAsia" w:ascii="仿宋" w:hAnsi="仿宋" w:eastAsia="仿宋" w:cs="仿宋"/>
          <w:kern w:val="0"/>
          <w:sz w:val="24"/>
          <w:szCs w:val="24"/>
        </w:rPr>
        <w:t>北京大学出版社</w:t>
      </w:r>
      <w:r>
        <w:rPr>
          <w:rFonts w:hint="eastAsia" w:ascii="仿宋" w:hAnsi="仿宋" w:eastAsia="仿宋" w:cs="仿宋"/>
          <w:kern w:val="0"/>
          <w:sz w:val="24"/>
          <w:szCs w:val="24"/>
        </w:rPr>
        <w:fldChar w:fldCharType="end"/>
      </w:r>
      <w:r>
        <w:rPr>
          <w:rFonts w:hint="eastAsia" w:ascii="仿宋" w:hAnsi="仿宋" w:eastAsia="仿宋" w:cs="仿宋"/>
          <w:color w:val="333333"/>
          <w:kern w:val="0"/>
          <w:sz w:val="24"/>
          <w:szCs w:val="24"/>
        </w:rPr>
        <w:t>，2010：104</w:t>
      </w:r>
    </w:p>
    <w:p>
      <w:pPr>
        <w:widowControl/>
        <w:adjustRightInd w:val="0"/>
        <w:snapToGrid w:val="0"/>
        <w:spacing w:line="440" w:lineRule="exact"/>
        <w:ind w:firstLine="480" w:firstLineChars="200"/>
        <w:jc w:val="left"/>
        <w:rPr>
          <w:rFonts w:ascii="仿宋" w:hAnsi="仿宋" w:eastAsia="仿宋" w:cs="仿宋"/>
          <w:color w:val="333333"/>
          <w:kern w:val="0"/>
          <w:sz w:val="24"/>
          <w:szCs w:val="24"/>
        </w:rPr>
      </w:pPr>
      <w:r>
        <w:rPr>
          <w:rFonts w:hint="eastAsia" w:ascii="仿宋" w:hAnsi="仿宋" w:eastAsia="仿宋" w:cs="仿宋"/>
          <w:color w:val="333333"/>
          <w:kern w:val="0"/>
          <w:sz w:val="24"/>
          <w:szCs w:val="24"/>
        </w:rPr>
        <w:t>潘晴雯.高校辅导员职业化的困境与消解[J].理论导刊，2010年第7期。</w:t>
      </w:r>
    </w:p>
    <w:p/>
    <w:p>
      <w:pPr>
        <w:ind w:right="960"/>
        <w:jc w:val="left"/>
        <w:rPr>
          <w:rFonts w:ascii="仿宋" w:hAnsi="仿宋" w:eastAsia="仿宋"/>
          <w:sz w:val="32"/>
          <w:szCs w:val="32"/>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54659D9-D78C-40CA-92F0-08AE3CE43EDA}"/>
  </w:font>
  <w:font w:name="Arial">
    <w:panose1 w:val="020B0604020202020204"/>
    <w:charset w:val="01"/>
    <w:family w:val="swiss"/>
    <w:pitch w:val="default"/>
    <w:sig w:usb0="E0002EFF" w:usb1="C000785B" w:usb2="00000009" w:usb3="00000000" w:csb0="400001FF" w:csb1="FFFF0000"/>
    <w:embedRegular r:id="rId2" w:fontKey="{A5C706E7-9F94-40A7-8F97-BD5CB0489C91}"/>
  </w:font>
  <w:font w:name="黑体">
    <w:panose1 w:val="02010609060101010101"/>
    <w:charset w:val="86"/>
    <w:family w:val="auto"/>
    <w:pitch w:val="default"/>
    <w:sig w:usb0="800002BF" w:usb1="38CF7CFA" w:usb2="00000016" w:usb3="00000000" w:csb0="00040001" w:csb1="00000000"/>
    <w:embedRegular r:id="rId3" w:fontKey="{AFC8E932-E0C2-4E35-896C-632624682AA5}"/>
  </w:font>
  <w:font w:name="Courier New">
    <w:panose1 w:val="02070309020205020404"/>
    <w:charset w:val="01"/>
    <w:family w:val="modern"/>
    <w:pitch w:val="default"/>
    <w:sig w:usb0="E0002EFF" w:usb1="C0007843" w:usb2="00000009" w:usb3="00000000" w:csb0="400001FF" w:csb1="FFFF0000"/>
    <w:embedRegular r:id="rId4" w:fontKey="{2AE7471B-CE56-4C4F-B7B1-3EDF8B7F3903}"/>
  </w:font>
  <w:font w:name="Symbol">
    <w:panose1 w:val="05050102010706020507"/>
    <w:charset w:val="02"/>
    <w:family w:val="roman"/>
    <w:pitch w:val="default"/>
    <w:sig w:usb0="00000000" w:usb1="00000000" w:usb2="00000000" w:usb3="00000000" w:csb0="80000000" w:csb1="00000000"/>
    <w:embedRegular r:id="rId5" w:fontKey="{8D7E56DC-8F9C-4D46-B1E2-2877D4064D45}"/>
  </w:font>
  <w:font w:name="Calibri">
    <w:panose1 w:val="020F0502020204030204"/>
    <w:charset w:val="00"/>
    <w:family w:val="swiss"/>
    <w:pitch w:val="default"/>
    <w:sig w:usb0="E4002EFF" w:usb1="C000247B" w:usb2="00000009" w:usb3="00000000" w:csb0="200001FF" w:csb1="00000000"/>
    <w:embedRegular r:id="rId6" w:fontKey="{DDBB6B5B-E630-4734-BBFB-D6DF94EEDDB2}"/>
  </w:font>
  <w:font w:name="等线">
    <w:panose1 w:val="02010600030101010101"/>
    <w:charset w:val="86"/>
    <w:family w:val="auto"/>
    <w:pitch w:val="default"/>
    <w:sig w:usb0="A00002BF" w:usb1="38CF7CFA" w:usb2="00000016" w:usb3="00000000" w:csb0="0004000F" w:csb1="00000000"/>
  </w:font>
  <w:font w:name="方正大黑_GBK">
    <w:panose1 w:val="03000509000000000000"/>
    <w:charset w:val="86"/>
    <w:family w:val="script"/>
    <w:pitch w:val="default"/>
    <w:sig w:usb0="00000001" w:usb1="080E0000" w:usb2="00000000" w:usb3="00000000" w:csb0="00040000" w:csb1="00000000"/>
    <w:embedRegular r:id="rId7" w:fontKey="{B6705465-FAA9-4931-BEA6-CB88E75B7AA5}"/>
  </w:font>
  <w:font w:name="方正小标宋简体">
    <w:panose1 w:val="03000509000000000000"/>
    <w:charset w:val="86"/>
    <w:family w:val="script"/>
    <w:pitch w:val="default"/>
    <w:sig w:usb0="00000001" w:usb1="080E0000" w:usb2="00000000" w:usb3="00000000" w:csb0="00040000" w:csb1="00000000"/>
    <w:embedRegular r:id="rId8" w:fontKey="{FDA1A52B-9BC3-46BE-8014-5B6983773698}"/>
  </w:font>
  <w:font w:name="仿宋">
    <w:panose1 w:val="02010609060101010101"/>
    <w:charset w:val="86"/>
    <w:family w:val="modern"/>
    <w:pitch w:val="default"/>
    <w:sig w:usb0="800002BF" w:usb1="38CF7CFA" w:usb2="00000016" w:usb3="00000000" w:csb0="00040001" w:csb1="00000000"/>
    <w:embedRegular r:id="rId9" w:fontKey="{227CC3ED-4AE2-4E2E-885F-59AA6D61429E}"/>
  </w:font>
  <w:font w:name="仿宋_GB2312">
    <w:altName w:val="仿宋"/>
    <w:panose1 w:val="02010609030101010101"/>
    <w:charset w:val="86"/>
    <w:family w:val="modern"/>
    <w:pitch w:val="default"/>
    <w:sig w:usb0="00000000" w:usb1="00000000" w:usb2="00000000" w:usb3="00000000" w:csb0="00040000" w:csb1="00000000"/>
    <w:embedRegular r:id="rId10" w:fontKey="{DC81B340-717D-496C-B713-1C18FC703E58}"/>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999C7B9"/>
    <w:multiLevelType w:val="singleLevel"/>
    <w:tmpl w:val="0999C7B9"/>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4"/>
  <w:embedTrueType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1339"/>
    <w:rsid w:val="0002781F"/>
    <w:rsid w:val="0004030B"/>
    <w:rsid w:val="00072906"/>
    <w:rsid w:val="000941E3"/>
    <w:rsid w:val="000B5F2E"/>
    <w:rsid w:val="000D457F"/>
    <w:rsid w:val="000E0155"/>
    <w:rsid w:val="000F7C4C"/>
    <w:rsid w:val="00132797"/>
    <w:rsid w:val="00165C4A"/>
    <w:rsid w:val="00170AE8"/>
    <w:rsid w:val="001D460B"/>
    <w:rsid w:val="00230392"/>
    <w:rsid w:val="0024673A"/>
    <w:rsid w:val="002A5FD3"/>
    <w:rsid w:val="002B3B41"/>
    <w:rsid w:val="002F06EF"/>
    <w:rsid w:val="003079BE"/>
    <w:rsid w:val="00322C98"/>
    <w:rsid w:val="0033509D"/>
    <w:rsid w:val="00391339"/>
    <w:rsid w:val="003930AB"/>
    <w:rsid w:val="003A38C2"/>
    <w:rsid w:val="003B2462"/>
    <w:rsid w:val="003F2A8C"/>
    <w:rsid w:val="00400F1C"/>
    <w:rsid w:val="00436DF9"/>
    <w:rsid w:val="00453951"/>
    <w:rsid w:val="004744B7"/>
    <w:rsid w:val="00546404"/>
    <w:rsid w:val="00550419"/>
    <w:rsid w:val="00575AA8"/>
    <w:rsid w:val="0059226F"/>
    <w:rsid w:val="005B260E"/>
    <w:rsid w:val="005F6494"/>
    <w:rsid w:val="005F722F"/>
    <w:rsid w:val="00616BF6"/>
    <w:rsid w:val="00651D52"/>
    <w:rsid w:val="00687FB4"/>
    <w:rsid w:val="006E4ABB"/>
    <w:rsid w:val="00705415"/>
    <w:rsid w:val="007268DD"/>
    <w:rsid w:val="00740221"/>
    <w:rsid w:val="00766185"/>
    <w:rsid w:val="00772610"/>
    <w:rsid w:val="00780FBA"/>
    <w:rsid w:val="00782D73"/>
    <w:rsid w:val="00783602"/>
    <w:rsid w:val="007857D4"/>
    <w:rsid w:val="007D550A"/>
    <w:rsid w:val="007D7B6B"/>
    <w:rsid w:val="007E1A16"/>
    <w:rsid w:val="0081184D"/>
    <w:rsid w:val="00846F29"/>
    <w:rsid w:val="00851F3B"/>
    <w:rsid w:val="00882ADA"/>
    <w:rsid w:val="008B600E"/>
    <w:rsid w:val="008D1574"/>
    <w:rsid w:val="008F355A"/>
    <w:rsid w:val="00922F60"/>
    <w:rsid w:val="009274C3"/>
    <w:rsid w:val="009A0AFB"/>
    <w:rsid w:val="009A64C3"/>
    <w:rsid w:val="009C6407"/>
    <w:rsid w:val="009E53C7"/>
    <w:rsid w:val="009E5D04"/>
    <w:rsid w:val="00A06D87"/>
    <w:rsid w:val="00A249CE"/>
    <w:rsid w:val="00A736A0"/>
    <w:rsid w:val="00AC76A8"/>
    <w:rsid w:val="00AD57F6"/>
    <w:rsid w:val="00AE25BE"/>
    <w:rsid w:val="00B00007"/>
    <w:rsid w:val="00B138A7"/>
    <w:rsid w:val="00B16614"/>
    <w:rsid w:val="00B35632"/>
    <w:rsid w:val="00B7118A"/>
    <w:rsid w:val="00BB2548"/>
    <w:rsid w:val="00BC4E5A"/>
    <w:rsid w:val="00BF6EE7"/>
    <w:rsid w:val="00C17ED1"/>
    <w:rsid w:val="00C2435E"/>
    <w:rsid w:val="00C41D9F"/>
    <w:rsid w:val="00C5172D"/>
    <w:rsid w:val="00C53930"/>
    <w:rsid w:val="00C60BB3"/>
    <w:rsid w:val="00C668AB"/>
    <w:rsid w:val="00CC1305"/>
    <w:rsid w:val="00CD2456"/>
    <w:rsid w:val="00CF7B8F"/>
    <w:rsid w:val="00D142C7"/>
    <w:rsid w:val="00D30D8B"/>
    <w:rsid w:val="00D7416D"/>
    <w:rsid w:val="00DA27B9"/>
    <w:rsid w:val="00DF3A9C"/>
    <w:rsid w:val="00E00D34"/>
    <w:rsid w:val="00E10774"/>
    <w:rsid w:val="00E31B04"/>
    <w:rsid w:val="00E400EE"/>
    <w:rsid w:val="00E43D7B"/>
    <w:rsid w:val="00E71516"/>
    <w:rsid w:val="00EA07A0"/>
    <w:rsid w:val="00EC1A34"/>
    <w:rsid w:val="00EF29C2"/>
    <w:rsid w:val="00F548A3"/>
    <w:rsid w:val="00F55A9A"/>
    <w:rsid w:val="00F8102A"/>
    <w:rsid w:val="00FC613D"/>
    <w:rsid w:val="00FF4355"/>
    <w:rsid w:val="080649A9"/>
    <w:rsid w:val="085C4BA5"/>
    <w:rsid w:val="0927283C"/>
    <w:rsid w:val="0BDE2118"/>
    <w:rsid w:val="1175362B"/>
    <w:rsid w:val="13BD22BF"/>
    <w:rsid w:val="22194F0F"/>
    <w:rsid w:val="250D2D66"/>
    <w:rsid w:val="26D23715"/>
    <w:rsid w:val="2A423449"/>
    <w:rsid w:val="2BC2000A"/>
    <w:rsid w:val="2E831C88"/>
    <w:rsid w:val="3B9B51B4"/>
    <w:rsid w:val="4B00217D"/>
    <w:rsid w:val="549215D9"/>
    <w:rsid w:val="60E41131"/>
    <w:rsid w:val="6A940D40"/>
    <w:rsid w:val="6FEB4738"/>
    <w:rsid w:val="713C024D"/>
    <w:rsid w:val="73F94B02"/>
    <w:rsid w:val="741C50F4"/>
    <w:rsid w:val="75FC679C"/>
    <w:rsid w:val="79560F22"/>
    <w:rsid w:val="79E61579"/>
    <w:rsid w:val="7AA32B83"/>
    <w:rsid w:val="7CB02B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Date"/>
    <w:basedOn w:val="1"/>
    <w:next w:val="1"/>
    <w:link w:val="13"/>
    <w:semiHidden/>
    <w:unhideWhenUsed/>
    <w:qFormat/>
    <w:uiPriority w:val="99"/>
    <w:pPr>
      <w:ind w:left="100" w:leftChars="2500"/>
    </w:pPr>
  </w:style>
  <w:style w:type="paragraph" w:styleId="3">
    <w:name w:val="Balloon Text"/>
    <w:basedOn w:val="1"/>
    <w:link w:val="12"/>
    <w:semiHidden/>
    <w:unhideWhenUsed/>
    <w:qFormat/>
    <w:uiPriority w:val="99"/>
    <w:rPr>
      <w:sz w:val="18"/>
      <w:szCs w:val="18"/>
    </w:rPr>
  </w:style>
  <w:style w:type="paragraph" w:styleId="4">
    <w:name w:val="footer"/>
    <w:basedOn w:val="1"/>
    <w:link w:val="11"/>
    <w:unhideWhenUsed/>
    <w:qFormat/>
    <w:uiPriority w:val="99"/>
    <w:pPr>
      <w:tabs>
        <w:tab w:val="center" w:pos="4153"/>
        <w:tab w:val="right" w:pos="8306"/>
      </w:tabs>
      <w:snapToGrid w:val="0"/>
      <w:jc w:val="left"/>
    </w:pPr>
    <w:rPr>
      <w:sz w:val="18"/>
      <w:szCs w:val="18"/>
    </w:rPr>
  </w:style>
  <w:style w:type="paragraph" w:styleId="5">
    <w:name w:val="header"/>
    <w:basedOn w:val="1"/>
    <w:link w:val="10"/>
    <w:unhideWhenUsed/>
    <w:qFormat/>
    <w:uiPriority w:val="99"/>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Hyperlink"/>
    <w:basedOn w:val="8"/>
    <w:unhideWhenUsed/>
    <w:qFormat/>
    <w:uiPriority w:val="99"/>
    <w:rPr>
      <w:color w:val="0563C1" w:themeColor="hyperlink"/>
      <w:u w:val="single"/>
      <w14:textFill>
        <w14:solidFill>
          <w14:schemeClr w14:val="hlink"/>
        </w14:solidFill>
      </w14:textFill>
    </w:rPr>
  </w:style>
  <w:style w:type="character" w:customStyle="1" w:styleId="10">
    <w:name w:val="页眉 Char"/>
    <w:basedOn w:val="8"/>
    <w:link w:val="5"/>
    <w:qFormat/>
    <w:uiPriority w:val="99"/>
    <w:rPr>
      <w:sz w:val="18"/>
      <w:szCs w:val="18"/>
    </w:rPr>
  </w:style>
  <w:style w:type="character" w:customStyle="1" w:styleId="11">
    <w:name w:val="页脚 Char"/>
    <w:basedOn w:val="8"/>
    <w:link w:val="4"/>
    <w:qFormat/>
    <w:uiPriority w:val="99"/>
    <w:rPr>
      <w:sz w:val="18"/>
      <w:szCs w:val="18"/>
    </w:rPr>
  </w:style>
  <w:style w:type="character" w:customStyle="1" w:styleId="12">
    <w:name w:val="批注框文本 Char"/>
    <w:basedOn w:val="8"/>
    <w:link w:val="3"/>
    <w:semiHidden/>
    <w:qFormat/>
    <w:uiPriority w:val="99"/>
    <w:rPr>
      <w:sz w:val="18"/>
      <w:szCs w:val="18"/>
    </w:rPr>
  </w:style>
  <w:style w:type="character" w:customStyle="1" w:styleId="13">
    <w:name w:val="日期 Char"/>
    <w:basedOn w:val="8"/>
    <w:link w:val="2"/>
    <w:semiHidden/>
    <w:qFormat/>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12</Pages>
  <Words>441</Words>
  <Characters>2515</Characters>
  <Lines>20</Lines>
  <Paragraphs>5</Paragraphs>
  <TotalTime>0</TotalTime>
  <ScaleCrop>false</ScaleCrop>
  <LinksUpToDate>false</LinksUpToDate>
  <CharactersWithSpaces>2951</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2021-03-10T02:17:00Z</dcterms:created>
  <dc:creator>陈杰聪</dc:creator>
  <cp:lastModifiedBy>Mr.chen</cp:lastModifiedBy>
  <cp:lastPrinted>2021-03-04T02:00:00Z</cp:lastPrinted>
  <dcterms:modified xsi:type="dcterms:W3CDTF">2021-10-21T09:31:09Z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1152CB2FD614456E8A67FF23E468EABF</vt:lpwstr>
  </property>
</Properties>
</file>