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napToGrid w:val="0"/>
        <w:spacing w:line="72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“青创100”广东大学生创新创业引领计划学员报名汇总表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推荐单位：　　　　　　　　　负责人：　　　　　　　联系电话：</w:t>
      </w:r>
    </w:p>
    <w:tbl>
      <w:tblPr>
        <w:tblStyle w:val="4"/>
        <w:tblW w:w="14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747"/>
        <w:gridCol w:w="1454"/>
        <w:gridCol w:w="701"/>
        <w:gridCol w:w="898"/>
        <w:gridCol w:w="1145"/>
        <w:gridCol w:w="2397"/>
        <w:gridCol w:w="1890"/>
        <w:gridCol w:w="180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学校、专业及年级</w:t>
            </w: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学员类别</w:t>
            </w: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是否创办企业</w:t>
            </w: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企业或项目名称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邮箱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备注：1.学员类别可填在校生或毕业生。2.推荐的学员请按顺序排列，电子版请发至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gdqc100</w:t>
      </w:r>
      <w:r>
        <w:rPr>
          <w:rFonts w:hint="eastAsia" w:ascii="方正仿宋_GBK" w:hAnsi="方正仿宋_GBK" w:eastAsia="方正仿宋_GBK" w:cs="方正仿宋_GBK"/>
        </w:rPr>
        <w:fldChar w:fldCharType="begin"/>
      </w:r>
      <w:r>
        <w:rPr>
          <w:rFonts w:hint="eastAsia" w:ascii="方正仿宋_GBK" w:hAnsi="方正仿宋_GBK" w:eastAsia="方正仿宋_GBK" w:cs="方正仿宋_GBK"/>
        </w:rPr>
        <w:instrText xml:space="preserve"> HYPERLINK "mailto:gdqingma@126.com" </w:instrText>
      </w:r>
      <w:r>
        <w:rPr>
          <w:rFonts w:hint="eastAsia" w:ascii="方正仿宋_GBK" w:hAnsi="方正仿宋_GBK" w:eastAsia="方正仿宋_GBK" w:cs="方正仿宋_GBK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@vip.163.com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C29EB"/>
    <w:rsid w:val="313C2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2018-01-12T11:37:00Z</dcterms:created>
  <dc:creator>PSYONLINE</dc:creator>
  <cp:lastModifiedBy>PSYONLINE</cp:lastModifiedBy>
  <dcterms:modified xsi:type="dcterms:W3CDTF">2018-01-12T11:37:30Z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